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167CF9ED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Рязанской области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14 мая 2019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А54-3783/2017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0D2725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Акционерным обществом «Страховая Компания Опора» (АО «СК Опора») (адрес регистрации: 390000, Рязанская область, город Рязань, улица Право-Лыбедская, дом 27, помещение Н124, ИНН 7705103801, ОГРН 1037739437614)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страховая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0D2725" w:rsidRPr="00535BF6">
        <w:rPr>
          <w:rFonts w:ascii="Times New Roman" w:hAnsi="Times New Roman" w:cs="Times New Roman"/>
          <w:sz w:val="22"/>
          <w:szCs w:val="22"/>
        </w:rPr>
        <w:t>имуществ</w:t>
      </w:r>
      <w:r w:rsidR="000D2725">
        <w:rPr>
          <w:rFonts w:ascii="Times New Roman" w:hAnsi="Times New Roman" w:cs="Times New Roman"/>
          <w:sz w:val="22"/>
          <w:szCs w:val="22"/>
        </w:rPr>
        <w:t>ом</w:t>
      </w:r>
      <w:r w:rsidR="000D2725" w:rsidRPr="00535BF6">
        <w:rPr>
          <w:rFonts w:ascii="Times New Roman" w:hAnsi="Times New Roman" w:cs="Times New Roman"/>
          <w:sz w:val="22"/>
          <w:szCs w:val="22"/>
        </w:rPr>
        <w:t xml:space="preserve"> страховой организации </w:t>
      </w:r>
      <w:r w:rsidR="00F2546F" w:rsidRPr="00535BF6">
        <w:rPr>
          <w:rFonts w:ascii="Times New Roman" w:hAnsi="Times New Roman" w:cs="Times New Roman"/>
          <w:sz w:val="22"/>
          <w:szCs w:val="22"/>
        </w:rPr>
        <w:t xml:space="preserve">посредством публичного предложения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77036350102 в газете «Коммерсантъ» от 23 мая 2026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>№ 90 (8264))</w:t>
      </w:r>
      <w:r w:rsidR="000D2725">
        <w:rPr>
          <w:rFonts w:ascii="Times New Roman" w:hAnsi="Times New Roman" w:cs="Times New Roman"/>
          <w:sz w:val="22"/>
          <w:szCs w:val="22"/>
        </w:rPr>
        <w:t>.</w:t>
      </w:r>
    </w:p>
    <w:p w14:paraId="56F556AD" w14:textId="77777777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Продлить сроки проведения Торгов ППП, и установить следующие начальные цены продажи лотов:</w:t>
      </w:r>
    </w:p>
    <w:p w14:paraId="1D0B1EF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Для лота 1:</w:t>
      </w:r>
    </w:p>
    <w:p w14:paraId="049F414B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31 августа 2026 г. по 11 сентября 2026 г. - в размере 77,20% от начальной цены продажи лота;</w:t>
      </w:r>
    </w:p>
    <w:p w14:paraId="6C988C5F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12 сентября 2026 г. по 16 сентября 2026 г. - в размере 73,40% от начальной цены продажи лота;</w:t>
      </w:r>
    </w:p>
    <w:p w14:paraId="334E0635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17 сентября 2026 г. по 21 сентября 2026 г. - в размере 69,60% от начальной цены продажи лота;</w:t>
      </w:r>
    </w:p>
    <w:p w14:paraId="5350F61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22 сентября 2026 г. по 26 сентября 2026 г. - в размере 65,80% от начальной цены продажи лота;</w:t>
      </w:r>
    </w:p>
    <w:p w14:paraId="63FDE490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27 сентября 2026 г. по 1 октября 2026 г. - в размере 62,00% от начальной цены продажи лота;</w:t>
      </w:r>
    </w:p>
    <w:p w14:paraId="1E364D1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 октября 2026 г. по 6 октября 2026 г. - в размере 58,20% от начальной цены продажи лота;</w:t>
      </w:r>
    </w:p>
    <w:p w14:paraId="243850F6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7 октября 2026 г. по 11 октября 2026 г. - в размере 54,40% от начальной цены продажи лота;</w:t>
      </w:r>
    </w:p>
    <w:p w14:paraId="1F86AC89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12 октября 2026 г. по 16 октября 2026 г. - в размере 50,60% от начальной цены продажи лота.</w:t>
      </w:r>
    </w:p>
    <w:p w14:paraId="0C95BBF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Для лота 2:</w:t>
      </w:r>
    </w:p>
    <w:p w14:paraId="6758D569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31 августа 2026 г. по 11 сентября 2026 г. - в размере 86,80% от начальной цены продажи лота;</w:t>
      </w:r>
    </w:p>
    <w:p w14:paraId="55FFFF73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12 сентября 2026 г. по 16 сентября 2026 г. - в размере 84,60% от начальной цены продажи лота;</w:t>
      </w:r>
    </w:p>
    <w:p w14:paraId="58F7C49B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17 сентября 2026 г. по 21 сентября 2026 г. - в размере 82,40% от начальной цены продажи лота;</w:t>
      </w:r>
    </w:p>
    <w:p w14:paraId="343E4261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22 сентября 2026 г. по 26 сентября 2026 г. - в размере 80,20% от начальной цены продажи лота;</w:t>
      </w:r>
    </w:p>
    <w:p w14:paraId="5385556F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27 сентября 2026 г. по 1 октября 2026 г. - в размере 78,00% от начальной цены продажи лота;</w:t>
      </w:r>
    </w:p>
    <w:p w14:paraId="3D2B6721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 октября 2026 г. по 6 октября 2026 г. - в размере 75,80% от начальной цены продажи лота;</w:t>
      </w:r>
    </w:p>
    <w:p w14:paraId="452034BB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7 октября 2026 г. по 11 октября 2026 г. - в размере 73,60% от начальной цены продажи лота;</w:t>
      </w:r>
    </w:p>
    <w:p w14:paraId="7F93B84E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12 октября 2026 г. по 16 октября 2026 г. - в размере 71,40% от начальной цены продажи лота;</w:t>
      </w:r>
    </w:p>
    <w:p w14:paraId="61128863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17 октября 2026 г. по 21 октября 2026 г. - в размере 69,20% от начальной цены продажи лота;</w:t>
      </w:r>
    </w:p>
    <w:p w14:paraId="1F072824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22 октября 2026 г. по 26 октября 2026 г. - в размере 67,00% от начальной цены продажи лота;</w:t>
      </w:r>
    </w:p>
    <w:p w14:paraId="709BAF50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27 октября 2026 г. по 31 октября 2026 г. - в размере 64,80% от начальной цены продажи лота;</w:t>
      </w:r>
    </w:p>
    <w:p w14:paraId="1FA17FC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 ноября 2026 г. по 5 ноября 2026 г. - в размере 62,60% от начальной цены продажи лота;</w:t>
      </w:r>
    </w:p>
    <w:p w14:paraId="11AFEEE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6 ноября 2026 г. по 10 ноября 2026 г. - в размере 60,40% от начальной цены продажи лота;</w:t>
      </w:r>
    </w:p>
    <w:p w14:paraId="256CE631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11 ноября 2026 г. по 15 ноября 2026 г. - в размере 58,20% от начальной цены продажи лота;</w:t>
      </w:r>
    </w:p>
    <w:p w14:paraId="5DC7AA35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16 ноября 2026 г. по 20 ноября 2026 г. - в размере 56,00% от начальной цены продажи лота;</w:t>
      </w:r>
    </w:p>
    <w:p w14:paraId="4FD9AD3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с 21 ноября 2026 г. по 25 ноября 2026 г. - в размере 53,80% от начальной цены продажи лота.</w:t>
      </w:r>
    </w:p>
    <w:p w14:paraId="6CD7CBE8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4D522434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D2725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B43D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97476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3</cp:revision>
  <cp:lastPrinted>2016-08-19T07:56:00Z</cp:lastPrinted>
  <dcterms:created xsi:type="dcterms:W3CDTF">2026-08-27T13:54:00Z</dcterms:created>
  <dcterms:modified xsi:type="dcterms:W3CDTF">2026-08-27T14:09:00Z</dcterms:modified>
</cp:coreProperties>
</file>