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511D52"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511D52"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511D52" w:rsidRDefault="00000000">
      <w:pPr>
        <w:spacing w:after="0" w:line="280" w:lineRule="auto"/>
        <w:ind w:left="0" w:right="60" w:firstLine="0"/>
        <w:jc w:val="center"/>
      </w:pPr>
      <w:r>
        <w:rPr>
          <w:b/>
          <w:sz w:val="28"/>
        </w:rPr>
        <w:t>принадлежащего частному собственнику</w:t>
      </w:r>
    </w:p>
    <w:p w14:paraId="4D909D54" w14:textId="77777777" w:rsidR="00511D52" w:rsidRDefault="00000000">
      <w:pPr>
        <w:spacing w:after="0" w:line="259" w:lineRule="auto"/>
        <w:ind w:left="10" w:right="60" w:firstLine="0"/>
        <w:jc w:val="center"/>
      </w:pPr>
      <w:r>
        <w:rPr>
          <w:b/>
          <w:sz w:val="28"/>
        </w:rPr>
        <w:t xml:space="preserve"> </w:t>
      </w:r>
    </w:p>
    <w:p w14:paraId="3FF082D5" w14:textId="14B4DC1A" w:rsidR="00511D52" w:rsidRDefault="00000000">
      <w:pPr>
        <w:tabs>
          <w:tab w:val="left" w:pos="10065"/>
        </w:tabs>
        <w:spacing w:after="8"/>
        <w:ind w:left="183" w:right="60" w:firstLine="0"/>
        <w:jc w:val="center"/>
        <w:rPr>
          <w:b/>
        </w:rPr>
      </w:pPr>
      <w:r>
        <w:rPr>
          <w:b/>
        </w:rPr>
        <w:t xml:space="preserve">Электронный аукцион будет проводиться </w:t>
      </w:r>
      <w:r w:rsidR="00FC4205">
        <w:rPr>
          <w:b/>
        </w:rPr>
        <w:t>27</w:t>
      </w:r>
      <w:r>
        <w:rPr>
          <w:b/>
        </w:rPr>
        <w:t>.0</w:t>
      </w:r>
      <w:r w:rsidR="00FC4205">
        <w:rPr>
          <w:b/>
        </w:rPr>
        <w:t>8</w:t>
      </w:r>
      <w:r>
        <w:rPr>
          <w:b/>
        </w:rPr>
        <w:t xml:space="preserve">.2026 г. с 09:00 </w:t>
      </w:r>
    </w:p>
    <w:p w14:paraId="08D80956" w14:textId="77777777" w:rsidR="00511D52"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511D52" w:rsidRDefault="00000000">
      <w:pPr>
        <w:tabs>
          <w:tab w:val="left" w:pos="10065"/>
        </w:tabs>
        <w:spacing w:after="8"/>
        <w:ind w:left="183" w:right="60" w:firstLine="0"/>
        <w:jc w:val="center"/>
        <w:rPr>
          <w:b/>
        </w:rPr>
      </w:pPr>
      <w:r>
        <w:rPr>
          <w:b/>
        </w:rPr>
        <w:t xml:space="preserve">по адресу </w:t>
      </w:r>
      <w:hyperlink r:id="rId8" w:tooltip="http://www.lot-online.ru/" w:history="1">
        <w:r w:rsidR="00511D52">
          <w:rPr>
            <w:b/>
            <w:color w:val="0000FF"/>
            <w:u w:val="single"/>
          </w:rPr>
          <w:t>www</w:t>
        </w:r>
      </w:hyperlink>
      <w:hyperlink r:id="rId9" w:tooltip="http://www.lot-online.ru/" w:history="1">
        <w:r w:rsidR="00511D52">
          <w:rPr>
            <w:b/>
            <w:color w:val="0000FF"/>
            <w:u w:val="single"/>
          </w:rPr>
          <w:t>.</w:t>
        </w:r>
      </w:hyperlink>
      <w:hyperlink r:id="rId10" w:tooltip="http://www.lot-online.ru/" w:history="1">
        <w:r w:rsidR="00511D52">
          <w:rPr>
            <w:b/>
            <w:color w:val="0000FF"/>
            <w:u w:val="single"/>
          </w:rPr>
          <w:t>lot</w:t>
        </w:r>
      </w:hyperlink>
      <w:hyperlink r:id="rId11" w:tooltip="http://www.lot-online.ru/" w:history="1">
        <w:r w:rsidR="00511D52">
          <w:rPr>
            <w:b/>
            <w:color w:val="0000FF"/>
            <w:u w:val="single"/>
          </w:rPr>
          <w:t>-</w:t>
        </w:r>
      </w:hyperlink>
      <w:hyperlink r:id="rId12" w:tooltip="http://www.lot-online.ru/" w:history="1">
        <w:r w:rsidR="00511D52">
          <w:rPr>
            <w:b/>
            <w:color w:val="0000FF"/>
            <w:u w:val="single"/>
          </w:rPr>
          <w:t>online</w:t>
        </w:r>
      </w:hyperlink>
      <w:hyperlink r:id="rId13" w:tooltip="http://www.lot-online.ru/" w:history="1">
        <w:r w:rsidR="00511D52">
          <w:rPr>
            <w:b/>
            <w:color w:val="0000FF"/>
            <w:u w:val="single"/>
          </w:rPr>
          <w:t>.</w:t>
        </w:r>
      </w:hyperlink>
      <w:hyperlink r:id="rId14" w:tooltip="http://www.lot-online.ru/" w:history="1">
        <w:r w:rsidR="00511D52">
          <w:rPr>
            <w:b/>
            <w:color w:val="0000FF"/>
            <w:u w:val="single"/>
          </w:rPr>
          <w:t>ru</w:t>
        </w:r>
      </w:hyperlink>
      <w:hyperlink r:id="rId15" w:tooltip="http://www.lot-online.ru/" w:history="1">
        <w:r w:rsidR="00511D52">
          <w:rPr>
            <w:b/>
          </w:rPr>
          <w:t>.</w:t>
        </w:r>
      </w:hyperlink>
      <w:r>
        <w:rPr>
          <w:b/>
        </w:rPr>
        <w:t xml:space="preserve"> </w:t>
      </w:r>
    </w:p>
    <w:p w14:paraId="68C21F14" w14:textId="77777777" w:rsidR="00511D52"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0D4D3AEE" w:rsidR="00511D52" w:rsidRDefault="00000000">
      <w:pPr>
        <w:tabs>
          <w:tab w:val="left" w:pos="10065"/>
        </w:tabs>
        <w:spacing w:after="8"/>
        <w:ind w:left="981" w:right="60" w:firstLine="0"/>
        <w:jc w:val="center"/>
        <w:rPr>
          <w:b/>
        </w:rPr>
      </w:pPr>
      <w:r>
        <w:rPr>
          <w:b/>
        </w:rPr>
        <w:t>Прием заявок осуществляется с 2</w:t>
      </w:r>
      <w:r w:rsidR="003C424A">
        <w:rPr>
          <w:b/>
        </w:rPr>
        <w:t>1</w:t>
      </w:r>
      <w:r>
        <w:rPr>
          <w:b/>
        </w:rPr>
        <w:t>.0</w:t>
      </w:r>
      <w:r w:rsidR="003C424A">
        <w:rPr>
          <w:b/>
        </w:rPr>
        <w:t>7</w:t>
      </w:r>
      <w:r>
        <w:rPr>
          <w:b/>
        </w:rPr>
        <w:t xml:space="preserve">.2026 г. 18:00 по </w:t>
      </w:r>
      <w:r w:rsidR="00FC4205">
        <w:rPr>
          <w:b/>
        </w:rPr>
        <w:t>24</w:t>
      </w:r>
      <w:r>
        <w:rPr>
          <w:b/>
        </w:rPr>
        <w:t>.0</w:t>
      </w:r>
      <w:r w:rsidR="00FC4205">
        <w:rPr>
          <w:b/>
        </w:rPr>
        <w:t>8</w:t>
      </w:r>
      <w:r>
        <w:rPr>
          <w:b/>
        </w:rPr>
        <w:t xml:space="preserve">.2026 г. до 18:00 </w:t>
      </w:r>
    </w:p>
    <w:p w14:paraId="022CC63C" w14:textId="77777777" w:rsidR="00511D52"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511D52" w:rsidRDefault="00000000">
      <w:pPr>
        <w:tabs>
          <w:tab w:val="left" w:pos="10065"/>
        </w:tabs>
        <w:spacing w:after="8"/>
        <w:ind w:left="981" w:right="60" w:firstLine="0"/>
        <w:jc w:val="center"/>
      </w:pPr>
      <w:r>
        <w:rPr>
          <w:b/>
        </w:rPr>
        <w:t xml:space="preserve">по адресу </w:t>
      </w:r>
      <w:hyperlink r:id="rId16" w:tooltip="http://www.lot-online.ru/" w:history="1">
        <w:r w:rsidR="00511D52">
          <w:rPr>
            <w:b/>
            <w:color w:val="0000FF"/>
            <w:u w:val="single"/>
          </w:rPr>
          <w:t>www.lot</w:t>
        </w:r>
      </w:hyperlink>
      <w:hyperlink r:id="rId17" w:tooltip="http://www.lot-online.ru/" w:history="1">
        <w:r w:rsidR="00511D52">
          <w:rPr>
            <w:b/>
            <w:color w:val="0000FF"/>
            <w:u w:val="single"/>
          </w:rPr>
          <w:t>-</w:t>
        </w:r>
      </w:hyperlink>
      <w:hyperlink r:id="rId18" w:tooltip="http://www.lot-online.ru/" w:history="1">
        <w:r w:rsidR="00511D52">
          <w:rPr>
            <w:b/>
            <w:color w:val="0000FF"/>
            <w:u w:val="single"/>
          </w:rPr>
          <w:t>online.ru</w:t>
        </w:r>
      </w:hyperlink>
      <w:hyperlink r:id="rId19" w:tooltip="http://www.lot-online.ru/" w:history="1">
        <w:r w:rsidR="00511D52">
          <w:rPr>
            <w:b/>
          </w:rPr>
          <w:t>.</w:t>
        </w:r>
      </w:hyperlink>
      <w:r>
        <w:rPr>
          <w:b/>
        </w:rPr>
        <w:t xml:space="preserve"> </w:t>
      </w:r>
    </w:p>
    <w:p w14:paraId="28578950" w14:textId="6FD4451E" w:rsidR="00511D52"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w:t>
      </w:r>
      <w:r w:rsidR="00FC4205">
        <w:rPr>
          <w:b/>
        </w:rPr>
        <w:t>24</w:t>
      </w:r>
      <w:r>
        <w:rPr>
          <w:b/>
        </w:rPr>
        <w:t>.0</w:t>
      </w:r>
      <w:r w:rsidR="00FC4205">
        <w:rPr>
          <w:b/>
        </w:rPr>
        <w:t>8</w:t>
      </w:r>
      <w:r>
        <w:rPr>
          <w:b/>
        </w:rPr>
        <w:t xml:space="preserve">.2026г. 18:00. </w:t>
      </w:r>
    </w:p>
    <w:p w14:paraId="413B8065" w14:textId="40B22CC8" w:rsidR="00511D52" w:rsidRDefault="00000000">
      <w:pPr>
        <w:tabs>
          <w:tab w:val="left" w:pos="10065"/>
        </w:tabs>
        <w:spacing w:after="8"/>
        <w:ind w:left="183" w:right="60" w:firstLine="0"/>
        <w:jc w:val="center"/>
      </w:pPr>
      <w:r>
        <w:rPr>
          <w:b/>
        </w:rPr>
        <w:t xml:space="preserve">Определение участников электронного аукциона состоится </w:t>
      </w:r>
      <w:r w:rsidR="00FC4205">
        <w:rPr>
          <w:b/>
        </w:rPr>
        <w:t>26</w:t>
      </w:r>
      <w:r>
        <w:rPr>
          <w:b/>
        </w:rPr>
        <w:t>.0</w:t>
      </w:r>
      <w:r w:rsidR="00FC4205">
        <w:rPr>
          <w:b/>
        </w:rPr>
        <w:t>8</w:t>
      </w:r>
      <w:r>
        <w:rPr>
          <w:b/>
        </w:rPr>
        <w:t xml:space="preserve">.2026 г. </w:t>
      </w:r>
    </w:p>
    <w:p w14:paraId="22B97214" w14:textId="77777777" w:rsidR="00511D52" w:rsidRDefault="00000000">
      <w:pPr>
        <w:spacing w:after="18" w:line="259" w:lineRule="auto"/>
        <w:ind w:left="0" w:right="60" w:firstLine="0"/>
        <w:jc w:val="center"/>
      </w:pPr>
      <w:r>
        <w:rPr>
          <w:b/>
        </w:rPr>
        <w:t xml:space="preserve"> </w:t>
      </w:r>
    </w:p>
    <w:p w14:paraId="3F5A4115" w14:textId="77777777" w:rsidR="00511D52"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511D52" w:rsidRDefault="00000000">
      <w:pPr>
        <w:spacing w:after="22" w:line="259" w:lineRule="auto"/>
        <w:ind w:left="0" w:right="60" w:firstLine="0"/>
        <w:jc w:val="center"/>
      </w:pPr>
      <w:r>
        <w:t xml:space="preserve"> </w:t>
      </w:r>
    </w:p>
    <w:p w14:paraId="2DF60107" w14:textId="77777777" w:rsidR="00511D52"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511D52"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511D52" w:rsidRDefault="00000000">
      <w:pPr>
        <w:spacing w:after="24" w:line="259" w:lineRule="auto"/>
        <w:ind w:left="538" w:right="60" w:firstLine="0"/>
        <w:jc w:val="center"/>
      </w:pPr>
      <w:r>
        <w:rPr>
          <w:b/>
        </w:rPr>
        <w:t xml:space="preserve"> </w:t>
      </w:r>
    </w:p>
    <w:p w14:paraId="21C4DA87" w14:textId="77777777" w:rsidR="00511D52" w:rsidRDefault="00000000">
      <w:pPr>
        <w:ind w:left="0" w:right="60" w:firstLine="0"/>
        <w:rPr>
          <w:b/>
          <w:szCs w:val="24"/>
        </w:rPr>
      </w:pPr>
      <w:r>
        <w:rPr>
          <w:b/>
          <w:szCs w:val="24"/>
        </w:rPr>
        <w:t xml:space="preserve">Объект продажи (Объект, лот): </w:t>
      </w:r>
    </w:p>
    <w:p w14:paraId="6CB3BF26" w14:textId="77777777" w:rsidR="00511D52" w:rsidRDefault="00000000">
      <w:pPr>
        <w:widowControl w:val="0"/>
        <w:spacing w:after="0" w:line="240" w:lineRule="auto"/>
        <w:ind w:left="0" w:right="-1" w:firstLine="709"/>
        <w:rPr>
          <w:rFonts w:eastAsia="NSimSun"/>
          <w:color w:val="000000" w:themeColor="text1"/>
          <w:szCs w:val="24"/>
          <w:highlight w:val="white"/>
          <w:lang w:eastAsia="zh-CN" w:bidi="hi-IN"/>
        </w:rPr>
      </w:pPr>
      <w:bookmarkStart w:id="0" w:name="_Hlk223685834"/>
      <w:r>
        <w:rPr>
          <w:rFonts w:eastAsia="NSimSun"/>
          <w:b/>
          <w:bCs/>
          <w:szCs w:val="24"/>
          <w:lang w:eastAsia="zh-CN" w:bidi="hi-IN"/>
        </w:rPr>
        <w:t>Земельный участок</w:t>
      </w:r>
      <w:r>
        <w:rPr>
          <w:rFonts w:ascii="Liberation Serif" w:eastAsia="NSimSun" w:hAnsi="Liberation Serif" w:cs="Mangal"/>
          <w:szCs w:val="24"/>
          <w:lang w:eastAsia="zh-CN" w:bidi="hi-IN"/>
        </w:rPr>
        <w:t>, площадью 2196 кв.м. уточненная площадь, погрешность 16.4 кв. м, кадастровый номер:</w:t>
      </w:r>
      <w:r>
        <w:rPr>
          <w:rFonts w:ascii="Lato-Regular" w:eastAsiaTheme="minorHAnsi" w:hAnsi="Lato-Regular" w:cs="Lato-Regular"/>
          <w:sz w:val="20"/>
          <w:szCs w:val="20"/>
          <w:lang w:eastAsia="en-US" w:bidi="hi-IN"/>
        </w:rPr>
        <w:t xml:space="preserve"> </w:t>
      </w:r>
      <w:r>
        <w:rPr>
          <w:rFonts w:ascii="Liberation Serif" w:hAnsi="Liberation Serif" w:cs="Mangal"/>
          <w:szCs w:val="24"/>
          <w:lang w:eastAsia="zh-CN" w:bidi="hi-IN"/>
        </w:rPr>
        <w:t>04:03:050301:8</w:t>
      </w:r>
      <w:r>
        <w:rPr>
          <w:rFonts w:ascii="Liberation Serif" w:eastAsia="NSimSun" w:hAnsi="Liberation Serif" w:cs="Mangal"/>
          <w:szCs w:val="24"/>
          <w:lang w:eastAsia="zh-CN" w:bidi="hi-IN"/>
        </w:rPr>
        <w:t xml:space="preserve">, категория земель: земли населенных пунктов, </w:t>
      </w:r>
      <w:r>
        <w:rPr>
          <w:rFonts w:eastAsia="NSimSun"/>
          <w:szCs w:val="24"/>
          <w:lang w:eastAsia="zh-CN" w:bidi="hi-IN"/>
        </w:rPr>
        <w:t>в</w:t>
      </w:r>
      <w:r>
        <w:rPr>
          <w:rFonts w:eastAsia="NSimSun"/>
          <w:color w:val="auto"/>
          <w:szCs w:val="24"/>
          <w:lang w:eastAsia="zh-CN"/>
        </w:rPr>
        <w:t>иды разрешенного использовани</w:t>
      </w:r>
      <w:r>
        <w:rPr>
          <w:rFonts w:ascii="Liberation Serif" w:eastAsia="NSimSun" w:hAnsi="Liberation Serif" w:cs="Mangal"/>
          <w:szCs w:val="24"/>
          <w:lang w:eastAsia="zh-CN" w:bidi="hi-IN"/>
        </w:rPr>
        <w:t xml:space="preserve">я: </w:t>
      </w:r>
      <w:r>
        <w:rPr>
          <w:rFonts w:eastAsia="NSimSun"/>
          <w:szCs w:val="24"/>
          <w:lang w:eastAsia="zh-CN" w:bidi="hi-IN"/>
        </w:rPr>
        <w:t xml:space="preserve">для индивидуального жилищного строительства. Местоположение: Российская Федерация, Республика Алтай, </w:t>
      </w:r>
      <w:proofErr w:type="spellStart"/>
      <w:r>
        <w:rPr>
          <w:rFonts w:eastAsia="NSimSun"/>
          <w:szCs w:val="24"/>
          <w:lang w:eastAsia="zh-CN" w:bidi="hi-IN"/>
        </w:rPr>
        <w:t>м.о</w:t>
      </w:r>
      <w:proofErr w:type="spellEnd"/>
      <w:r>
        <w:rPr>
          <w:rFonts w:eastAsia="NSimSun"/>
          <w:szCs w:val="24"/>
          <w:lang w:eastAsia="zh-CN" w:bidi="hi-IN"/>
        </w:rPr>
        <w:t>. Турочакский район, с. Санькин Аил, ул. Центральная, з/у 26.</w:t>
      </w:r>
    </w:p>
    <w:p w14:paraId="46B8FD41" w14:textId="77777777" w:rsidR="00511D52" w:rsidRDefault="00000000">
      <w:pPr>
        <w:widowControl w:val="0"/>
        <w:spacing w:after="0" w:line="240" w:lineRule="auto"/>
        <w:ind w:left="0" w:right="-57" w:firstLine="540"/>
        <w:rPr>
          <w:rFonts w:eastAsia="NSimSun"/>
          <w:szCs w:val="24"/>
          <w:lang w:eastAsia="zh-CN" w:bidi="hi-IN"/>
        </w:rPr>
      </w:pPr>
      <w:r>
        <w:rPr>
          <w:rFonts w:eastAsia="NSimSun"/>
          <w:szCs w:val="24"/>
          <w:lang w:eastAsia="zh-CN" w:bidi="hi-IN"/>
        </w:rPr>
        <w:t xml:space="preserve">Ограничения прав и обременение Объекта, согласно выписке из ЕГРН от 13.03.2026г. № КУВИ-001/2026-33726756: </w:t>
      </w:r>
      <w:r>
        <w:rPr>
          <w:szCs w:val="24"/>
          <w:lang w:eastAsia="zh-CN" w:bidi="hi-IN"/>
        </w:rPr>
        <w:t>не зарегистрированы.</w:t>
      </w:r>
      <w:bookmarkEnd w:id="0"/>
    </w:p>
    <w:p w14:paraId="6D8437ED" w14:textId="77777777" w:rsidR="00511D52" w:rsidRDefault="00511D52">
      <w:pPr>
        <w:ind w:left="0" w:right="60" w:firstLine="0"/>
        <w:rPr>
          <w:color w:val="auto"/>
          <w:szCs w:val="24"/>
        </w:rPr>
      </w:pPr>
    </w:p>
    <w:p w14:paraId="1E7FDBCA" w14:textId="49C27C85" w:rsidR="00511D52" w:rsidRDefault="00000000">
      <w:pPr>
        <w:ind w:right="-57" w:firstLine="567"/>
      </w:pPr>
      <w:r>
        <w:rPr>
          <w:b/>
          <w:szCs w:val="24"/>
        </w:rPr>
        <w:t xml:space="preserve">Начальная цена лота устанавливается в размере </w:t>
      </w:r>
      <w:r>
        <w:rPr>
          <w:b/>
          <w:bCs/>
        </w:rPr>
        <w:t>3</w:t>
      </w:r>
      <w:r>
        <w:rPr>
          <w:b/>
          <w:bCs/>
          <w:shd w:val="clear" w:color="auto" w:fill="FFFFFF"/>
        </w:rPr>
        <w:t> 000 000 (Три миллиона) рублей 00 копеек</w:t>
      </w:r>
      <w:r>
        <w:rPr>
          <w:shd w:val="clear" w:color="auto" w:fill="FFFFFF"/>
        </w:rPr>
        <w:t xml:space="preserve">, </w:t>
      </w:r>
      <w:r>
        <w:rPr>
          <w:highlight w:val="white"/>
        </w:rPr>
        <w:t>НДС не облагается</w:t>
      </w:r>
      <w:r>
        <w:t>.</w:t>
      </w:r>
    </w:p>
    <w:p w14:paraId="112AD0B4" w14:textId="349B3943" w:rsidR="00511D52" w:rsidRDefault="00511D52">
      <w:pPr>
        <w:spacing w:line="268" w:lineRule="auto"/>
        <w:ind w:left="-15" w:right="60" w:firstLine="375"/>
        <w:rPr>
          <w:bCs/>
          <w:szCs w:val="24"/>
        </w:rPr>
      </w:pPr>
    </w:p>
    <w:p w14:paraId="32953F1E" w14:textId="777588D2" w:rsidR="00511D52" w:rsidRDefault="00000000">
      <w:pPr>
        <w:ind w:left="0" w:right="-1" w:firstLine="360"/>
      </w:pPr>
      <w:r>
        <w:rPr>
          <w:b/>
          <w:szCs w:val="24"/>
        </w:rPr>
        <w:t xml:space="preserve">Сумма задатка – </w:t>
      </w:r>
      <w:bookmarkStart w:id="1" w:name="_Hlk213071139"/>
      <w:r>
        <w:rPr>
          <w:b/>
          <w:bCs/>
          <w:shd w:val="clear" w:color="auto" w:fill="FFFFFF"/>
        </w:rPr>
        <w:t>300 000 (Триста тысяч) рублей.</w:t>
      </w:r>
      <w:r>
        <w:rPr>
          <w:b/>
          <w:bCs/>
        </w:rPr>
        <w:t xml:space="preserve"> 00 коп.</w:t>
      </w:r>
      <w:bookmarkEnd w:id="1"/>
    </w:p>
    <w:p w14:paraId="22A31E71" w14:textId="577010CA" w:rsidR="00511D52" w:rsidRDefault="00000000">
      <w:pPr>
        <w:ind w:left="0" w:right="60" w:firstLine="360"/>
        <w:rPr>
          <w:b/>
          <w:szCs w:val="24"/>
        </w:rPr>
      </w:pPr>
      <w:r>
        <w:rPr>
          <w:b/>
          <w:szCs w:val="24"/>
        </w:rPr>
        <w:t xml:space="preserve">Шаг аукциона – </w:t>
      </w:r>
      <w:bookmarkStart w:id="2" w:name="_Hlk213071158"/>
      <w:r>
        <w:rPr>
          <w:b/>
          <w:bCs/>
        </w:rPr>
        <w:t>50 000 (Пятьдесят тысяч</w:t>
      </w:r>
      <w:r>
        <w:rPr>
          <w:b/>
          <w:szCs w:val="24"/>
        </w:rPr>
        <w:t>) рублей 00 коп.</w:t>
      </w:r>
      <w:bookmarkEnd w:id="2"/>
    </w:p>
    <w:p w14:paraId="60904204" w14:textId="77777777" w:rsidR="00511D52" w:rsidRDefault="00000000">
      <w:pPr>
        <w:spacing w:after="26" w:line="259" w:lineRule="auto"/>
        <w:ind w:left="540" w:right="60" w:firstLine="0"/>
        <w:jc w:val="left"/>
        <w:rPr>
          <w:szCs w:val="24"/>
        </w:rPr>
      </w:pPr>
      <w:r>
        <w:rPr>
          <w:b/>
          <w:szCs w:val="24"/>
        </w:rPr>
        <w:t xml:space="preserve"> </w:t>
      </w:r>
    </w:p>
    <w:p w14:paraId="19418F03" w14:textId="77777777" w:rsidR="00511D52"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511D52" w:rsidRDefault="00000000">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511D52">
          <w:rPr>
            <w:sz w:val="22"/>
          </w:rPr>
          <w:t>при проведении электронных торгов по продаже</w:t>
        </w:r>
      </w:hyperlink>
      <w:hyperlink r:id="rId21" w:tooltip="https://sales.lot-online.ru/e-auction/media/reglament.pdf" w:history="1">
        <w:r w:rsidR="00511D52">
          <w:rPr>
            <w:sz w:val="22"/>
          </w:rPr>
          <w:t xml:space="preserve"> </w:t>
        </w:r>
      </w:hyperlink>
      <w:hyperlink r:id="rId22" w:tooltip="https://sales.lot-online.ru/e-auction/media/reglament.pdf" w:history="1">
        <w:r w:rsidR="00511D52">
          <w:rPr>
            <w:sz w:val="22"/>
          </w:rPr>
          <w:t xml:space="preserve">имущества, имущественных </w:t>
        </w:r>
      </w:hyperlink>
      <w:hyperlink r:id="rId23" w:tooltip="https://sales.lot-online.ru/e-auction/media/reglament.pdf" w:history="1">
        <w:r w:rsidR="00511D52">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w:t>
      </w:r>
      <w:r w:rsidRPr="004D08F3">
        <w:rPr>
          <w:sz w:val="22"/>
        </w:rPr>
        <w:t>продажи государственного или муниципального имущества)</w:t>
      </w:r>
      <w:r>
        <w:rPr>
          <w:sz w:val="22"/>
        </w:rPr>
        <w:t xml:space="preserve"> размещенном на сайте www.lot-online.ru </w:t>
      </w:r>
      <w:r>
        <w:rPr>
          <w:sz w:val="20"/>
          <w:szCs w:val="20"/>
        </w:rPr>
        <w:t>(</w:t>
      </w:r>
      <w:hyperlink r:id="rId24" w:tooltip="https://catalog.lot-online.ru/index.php?dispatch=rad_attachment.getfile&amp;attachment_id=2726858&amp;inline=true" w:history="1">
        <w:r w:rsidR="00511D52">
          <w:rPr>
            <w:rStyle w:val="aff7"/>
            <w:sz w:val="20"/>
            <w:szCs w:val="20"/>
          </w:rPr>
          <w:t>https://catalog.lot-online.ru/index.php?dispatch=rad_attachment.getfile&amp;attachment_id=2726858&amp;inline=true</w:t>
        </w:r>
      </w:hyperlink>
      <w:r>
        <w:rPr>
          <w:sz w:val="20"/>
          <w:szCs w:val="20"/>
        </w:rPr>
        <w:t>)</w:t>
      </w:r>
      <w:r>
        <w:rPr>
          <w:sz w:val="22"/>
        </w:rPr>
        <w:t xml:space="preserve">, Регламентом АО «Российский аукционный дом» О порядке работы с денежными средствами, перечисляемыми в качестве задатка, </w:t>
      </w:r>
      <w:r>
        <w:rPr>
          <w:sz w:val="22"/>
        </w:rPr>
        <w:lastRenderedPageBreak/>
        <w:t>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511D52" w:rsidRDefault="00511D52">
      <w:pPr>
        <w:ind w:right="60" w:firstLine="0"/>
      </w:pPr>
    </w:p>
    <w:p w14:paraId="56CCF150" w14:textId="77777777" w:rsidR="00511D52"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511D52" w:rsidRDefault="00000000">
      <w:pPr>
        <w:spacing w:after="0" w:line="259" w:lineRule="auto"/>
        <w:ind w:left="721" w:right="60" w:firstLine="0"/>
        <w:jc w:val="center"/>
        <w:rPr>
          <w:szCs w:val="24"/>
        </w:rPr>
      </w:pPr>
      <w:r>
        <w:rPr>
          <w:b/>
          <w:szCs w:val="24"/>
        </w:rPr>
        <w:t xml:space="preserve"> </w:t>
      </w:r>
    </w:p>
    <w:p w14:paraId="665F4BA2" w14:textId="77777777" w:rsidR="00511D52"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511D52"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511D52"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511D52" w:rsidRDefault="00000000">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511D52"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511D52"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511D52"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511D52">
          <w:rPr>
            <w:szCs w:val="24"/>
          </w:rPr>
          <w:t>электронной подписью</w:t>
        </w:r>
      </w:hyperlink>
      <w:hyperlink r:id="rId26" w:tooltip="consultantplus://offline/main?base=LAW;n=72518;fld=134" w:history="1">
        <w:r w:rsidR="00511D52">
          <w:rPr>
            <w:szCs w:val="24"/>
          </w:rPr>
          <w:t xml:space="preserve"> </w:t>
        </w:r>
      </w:hyperlink>
      <w:r>
        <w:rPr>
          <w:szCs w:val="24"/>
        </w:rPr>
        <w:t xml:space="preserve">Претендента документы. </w:t>
      </w:r>
    </w:p>
    <w:p w14:paraId="19EF55F5" w14:textId="77777777" w:rsidR="00511D52" w:rsidRDefault="00000000">
      <w:pPr>
        <w:spacing w:after="26" w:line="259" w:lineRule="auto"/>
        <w:ind w:left="720" w:right="60" w:firstLine="0"/>
        <w:jc w:val="left"/>
        <w:rPr>
          <w:szCs w:val="24"/>
        </w:rPr>
      </w:pPr>
      <w:r>
        <w:rPr>
          <w:b/>
          <w:szCs w:val="24"/>
        </w:rPr>
        <w:t xml:space="preserve"> </w:t>
      </w:r>
    </w:p>
    <w:p w14:paraId="0DC160D6" w14:textId="77777777" w:rsidR="00511D52"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511D52"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511D52"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511D52"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511D52"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511D52" w:rsidRDefault="00000000">
      <w:pPr>
        <w:numPr>
          <w:ilvl w:val="1"/>
          <w:numId w:val="1"/>
        </w:numPr>
        <w:ind w:right="60"/>
        <w:rPr>
          <w:szCs w:val="24"/>
        </w:rPr>
      </w:pPr>
      <w:r>
        <w:rPr>
          <w:szCs w:val="24"/>
        </w:rPr>
        <w:t xml:space="preserve">Юридические лица: </w:t>
      </w:r>
    </w:p>
    <w:p w14:paraId="52084347" w14:textId="77777777" w:rsidR="00511D52"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511D52"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511D52"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511D52"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511D52" w:rsidRDefault="00000000">
      <w:pPr>
        <w:numPr>
          <w:ilvl w:val="0"/>
          <w:numId w:val="2"/>
        </w:numPr>
        <w:ind w:left="420" w:right="60"/>
        <w:rPr>
          <w:szCs w:val="24"/>
        </w:rPr>
      </w:pPr>
      <w:r>
        <w:rPr>
          <w:szCs w:val="24"/>
        </w:rPr>
        <w:lastRenderedPageBreak/>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511D52"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511D52"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511D52" w:rsidRDefault="00000000">
      <w:pPr>
        <w:ind w:left="708" w:right="60" w:firstLine="0"/>
        <w:rPr>
          <w:szCs w:val="24"/>
        </w:rPr>
      </w:pPr>
      <w:r>
        <w:rPr>
          <w:szCs w:val="24"/>
        </w:rPr>
        <w:t xml:space="preserve">2.3. Индивидуальные предприниматели:  </w:t>
      </w:r>
    </w:p>
    <w:p w14:paraId="16950411" w14:textId="77777777" w:rsidR="00511D52"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511D52"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511D52"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511D52" w:rsidRDefault="00000000">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511D52" w:rsidRDefault="00000000">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4C3571DF" w14:textId="77777777" w:rsidR="00511D52"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511D52"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511D52"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511D52"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511D52"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sidR="00511D52">
          <w:rPr>
            <w:color w:val="0000FF"/>
            <w:szCs w:val="24"/>
            <w:u w:val="single"/>
          </w:rPr>
          <w:t>www</w:t>
        </w:r>
      </w:hyperlink>
      <w:hyperlink r:id="rId28" w:tooltip="http://www.lot-online.ru/" w:history="1">
        <w:r w:rsidR="00511D52">
          <w:rPr>
            <w:color w:val="0000FF"/>
            <w:szCs w:val="24"/>
            <w:u w:val="single"/>
          </w:rPr>
          <w:t>.</w:t>
        </w:r>
      </w:hyperlink>
      <w:hyperlink r:id="rId29" w:tooltip="http://www.lot-online.ru/" w:history="1">
        <w:r w:rsidR="00511D52">
          <w:rPr>
            <w:color w:val="0000FF"/>
            <w:szCs w:val="24"/>
            <w:u w:val="single"/>
          </w:rPr>
          <w:t>lot</w:t>
        </w:r>
      </w:hyperlink>
      <w:hyperlink r:id="rId30" w:tooltip="http://www.lot-online.ru/" w:history="1">
        <w:r w:rsidR="00511D52">
          <w:rPr>
            <w:color w:val="0000FF"/>
            <w:szCs w:val="24"/>
            <w:u w:val="single"/>
          </w:rPr>
          <w:t>-</w:t>
        </w:r>
      </w:hyperlink>
      <w:hyperlink r:id="rId31" w:tooltip="http://www.lot-online.ru/" w:history="1">
        <w:r w:rsidR="00511D52">
          <w:rPr>
            <w:color w:val="0000FF"/>
            <w:szCs w:val="24"/>
            <w:u w:val="single"/>
          </w:rPr>
          <w:t>online</w:t>
        </w:r>
      </w:hyperlink>
      <w:hyperlink r:id="rId32" w:tooltip="http://www.lot-online.ru/" w:history="1">
        <w:r w:rsidR="00511D52">
          <w:rPr>
            <w:color w:val="0000FF"/>
            <w:szCs w:val="24"/>
            <w:u w:val="single"/>
          </w:rPr>
          <w:t>.</w:t>
        </w:r>
      </w:hyperlink>
      <w:hyperlink r:id="rId33" w:tooltip="http://www.lot-online.ru/" w:history="1">
        <w:r w:rsidR="00511D52">
          <w:rPr>
            <w:color w:val="0000FF"/>
            <w:szCs w:val="24"/>
            <w:u w:val="single"/>
          </w:rPr>
          <w:t>ru</w:t>
        </w:r>
      </w:hyperlink>
      <w:hyperlink r:id="rId34" w:tooltip="http://www.lot-online.ru/" w:history="1">
        <w:r w:rsidR="00511D52">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511D52" w:rsidRDefault="00000000">
      <w:pPr>
        <w:ind w:left="0" w:firstLine="0"/>
        <w:rPr>
          <w:b/>
          <w:sz w:val="22"/>
          <w:szCs w:val="24"/>
        </w:rPr>
      </w:pPr>
      <w:r>
        <w:rPr>
          <w:b/>
          <w:sz w:val="22"/>
          <w:szCs w:val="24"/>
        </w:rPr>
        <w:t>р/с № 40702810355000036459 в СЕВЕРО-ЗАПАДНЫЙ БАНК ПАО СБЕРБАНК,</w:t>
      </w:r>
    </w:p>
    <w:p w14:paraId="7A96B7D1" w14:textId="77777777" w:rsidR="00511D52"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45151701" w:rsidR="00511D52" w:rsidRDefault="00000000">
      <w:pPr>
        <w:spacing w:line="268" w:lineRule="auto"/>
        <w:ind w:left="718" w:right="60" w:firstLine="0"/>
        <w:rPr>
          <w:szCs w:val="24"/>
        </w:rPr>
      </w:pPr>
      <w:r>
        <w:rPr>
          <w:b/>
          <w:szCs w:val="24"/>
        </w:rPr>
        <w:t xml:space="preserve">Задаток должен поступить на указанный счет не позднее </w:t>
      </w:r>
      <w:r w:rsidR="00FC4205">
        <w:rPr>
          <w:b/>
          <w:szCs w:val="24"/>
        </w:rPr>
        <w:t>24</w:t>
      </w:r>
      <w:r>
        <w:rPr>
          <w:b/>
        </w:rPr>
        <w:t>.0</w:t>
      </w:r>
      <w:r w:rsidR="00FC4205">
        <w:rPr>
          <w:b/>
        </w:rPr>
        <w:t>8</w:t>
      </w:r>
      <w:r>
        <w:rPr>
          <w:b/>
        </w:rPr>
        <w:t>.</w:t>
      </w:r>
      <w:r>
        <w:rPr>
          <w:b/>
          <w:szCs w:val="24"/>
        </w:rPr>
        <w:t>2026 г.</w:t>
      </w:r>
      <w:r>
        <w:rPr>
          <w:szCs w:val="24"/>
        </w:rPr>
        <w:t xml:space="preserve"> </w:t>
      </w:r>
    </w:p>
    <w:p w14:paraId="1B60ECFA" w14:textId="77777777" w:rsidR="00511D52"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511D52" w:rsidRDefault="00000000">
      <w:pPr>
        <w:ind w:left="-15" w:right="60" w:firstLine="0"/>
        <w:rPr>
          <w:szCs w:val="24"/>
        </w:rPr>
      </w:pPr>
      <w:r>
        <w:rPr>
          <w:szCs w:val="24"/>
        </w:rPr>
        <w:lastRenderedPageBreak/>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511D52"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511D52"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511D52"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511D52" w:rsidRDefault="00000000">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511D52" w:rsidRDefault="00000000">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511D52"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511D52"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511D52"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511D52"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511D52"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511D52"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511D52"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511D52"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511D52"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511D52"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511D52" w:rsidRDefault="00000000">
      <w:pPr>
        <w:numPr>
          <w:ilvl w:val="0"/>
          <w:numId w:val="3"/>
        </w:numPr>
        <w:ind w:left="420" w:right="60"/>
        <w:rPr>
          <w:szCs w:val="24"/>
        </w:rPr>
      </w:pPr>
      <w:r>
        <w:rPr>
          <w:szCs w:val="24"/>
        </w:rPr>
        <w:lastRenderedPageBreak/>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511D52"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511D52"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511D52"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511D52"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511D52"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511D52" w:rsidRDefault="00000000">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511D52" w:rsidRDefault="00000000">
      <w:pPr>
        <w:spacing w:after="0" w:line="259" w:lineRule="auto"/>
        <w:ind w:left="708" w:right="60" w:firstLine="0"/>
        <w:jc w:val="left"/>
        <w:rPr>
          <w:szCs w:val="24"/>
        </w:rPr>
      </w:pPr>
      <w:r>
        <w:rPr>
          <w:szCs w:val="24"/>
        </w:rPr>
        <w:t xml:space="preserve"> </w:t>
      </w:r>
    </w:p>
    <w:p w14:paraId="50AD031E" w14:textId="77777777" w:rsidR="00511D52"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511D52"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Pr="004D08F3">
        <w:rPr>
          <w:sz w:val="22"/>
        </w:rPr>
        <w:t>продажи государственного или муниципального имущества)</w:t>
      </w:r>
      <w:r>
        <w:rPr>
          <w:sz w:val="22"/>
        </w:rPr>
        <w:t xml:space="preserve">, размещенном на сайте </w:t>
      </w:r>
      <w:hyperlink r:id="rId35" w:tooltip="http://www.lot-online.ru" w:history="1">
        <w:r w:rsidR="00511D52">
          <w:rPr>
            <w:rStyle w:val="aff7"/>
            <w:sz w:val="22"/>
          </w:rPr>
          <w:t>www.lot-online.ru</w:t>
        </w:r>
      </w:hyperlink>
      <w:r>
        <w:rPr>
          <w:sz w:val="22"/>
        </w:rPr>
        <w:t>.</w:t>
      </w:r>
    </w:p>
    <w:p w14:paraId="16BDBB15" w14:textId="77777777" w:rsidR="00511D52"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511D52"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511D52"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511D52"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511D52"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511D52"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511D52"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511D52" w:rsidRDefault="00000000">
      <w:pPr>
        <w:ind w:left="-15" w:right="60" w:firstLine="0"/>
        <w:rPr>
          <w:szCs w:val="24"/>
        </w:rPr>
      </w:pPr>
      <w:r>
        <w:rPr>
          <w:szCs w:val="24"/>
        </w:rPr>
        <w:lastRenderedPageBreak/>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511D52"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511D52"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511D52"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511D52"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511D52"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511D52"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511D52"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511D52"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511D52"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511D52"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511D52"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511D52"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511D52" w:rsidRDefault="00000000">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8E2D797" w14:textId="77777777" w:rsidR="00511D52"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511D52"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511D52" w:rsidRDefault="00000000">
      <w:pPr>
        <w:ind w:left="-15" w:right="60" w:firstLine="0"/>
        <w:rPr>
          <w:szCs w:val="24"/>
        </w:rPr>
      </w:pPr>
      <w:r>
        <w:rPr>
          <w:szCs w:val="24"/>
        </w:rPr>
        <w:t>- к участию в аукционе допущен только один Претендент;</w:t>
      </w:r>
    </w:p>
    <w:p w14:paraId="6C918476" w14:textId="77777777" w:rsidR="00511D52"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511D52"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511D52" w:rsidRDefault="00000000">
      <w:pPr>
        <w:ind w:left="-15" w:right="60" w:firstLine="0"/>
        <w:rPr>
          <w:szCs w:val="24"/>
        </w:rPr>
      </w:pPr>
      <w:r>
        <w:rPr>
          <w:szCs w:val="24"/>
        </w:rPr>
        <w:lastRenderedPageBreak/>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sidR="00511D52">
          <w:rPr>
            <w:rStyle w:val="aff7"/>
            <w:szCs w:val="24"/>
          </w:rPr>
          <w:t>www.lot-online.ru</w:t>
        </w:r>
      </w:hyperlink>
      <w:r>
        <w:rPr>
          <w:szCs w:val="24"/>
        </w:rPr>
        <w:t>.</w:t>
      </w:r>
    </w:p>
    <w:p w14:paraId="6A6A51CB" w14:textId="77777777" w:rsidR="00511D52" w:rsidRDefault="00511D52">
      <w:pPr>
        <w:ind w:left="-15" w:right="60" w:firstLine="0"/>
        <w:rPr>
          <w:szCs w:val="24"/>
        </w:rPr>
      </w:pPr>
    </w:p>
    <w:p w14:paraId="0BD0B73C" w14:textId="77777777" w:rsidR="00511D52" w:rsidRDefault="00000000">
      <w:pPr>
        <w:ind w:left="-15" w:right="60" w:firstLine="0"/>
        <w:jc w:val="center"/>
        <w:rPr>
          <w:szCs w:val="24"/>
        </w:rPr>
      </w:pPr>
      <w:r>
        <w:rPr>
          <w:szCs w:val="24"/>
        </w:rPr>
        <w:t xml:space="preserve">Телефоны службы технической поддержки </w:t>
      </w:r>
      <w:proofErr w:type="spellStart"/>
      <w:r>
        <w:rPr>
          <w:szCs w:val="24"/>
        </w:rPr>
        <w:t>Lot-online</w:t>
      </w:r>
      <w:proofErr w:type="spellEnd"/>
      <w:r>
        <w:rPr>
          <w:szCs w:val="24"/>
        </w:rPr>
        <w:t>: 8-800-777-57-57, доб. 231, 235.</w:t>
      </w:r>
    </w:p>
    <w:p w14:paraId="61122E25" w14:textId="77777777" w:rsidR="00511D52" w:rsidRDefault="00000000">
      <w:pPr>
        <w:ind w:left="-15" w:right="60" w:firstLine="0"/>
        <w:jc w:val="center"/>
        <w:rPr>
          <w:szCs w:val="24"/>
        </w:rPr>
      </w:pPr>
      <w:r>
        <w:rPr>
          <w:szCs w:val="24"/>
        </w:rPr>
        <w:t xml:space="preserve"> </w:t>
      </w:r>
    </w:p>
    <w:p w14:paraId="118127DF" w14:textId="77777777" w:rsidR="00511D52"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511D52"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511D52" w:rsidRDefault="00000000">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511D52" w:rsidRDefault="00000000">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511D52"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511D52"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511D52"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511D52"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460904B2" w:rsidR="00511D52"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+7 (913) 773-13-42,  </w:t>
      </w:r>
      <w:hyperlink r:id="rId37" w:tooltip="mailto:novosibirsk@auction-house.ru" w:history="1">
        <w:r w:rsidR="00511D52">
          <w:rPr>
            <w:rStyle w:val="aff7"/>
            <w:shd w:val="clear" w:color="auto" w:fill="FFFFFF"/>
          </w:rPr>
          <w:t>n</w:t>
        </w:r>
        <w:r w:rsidR="00511D52">
          <w:rPr>
            <w:rStyle w:val="aff7"/>
            <w:shd w:val="clear" w:color="auto" w:fill="FFFFFF"/>
            <w:lang w:val="en-US"/>
          </w:rPr>
          <w:t>ovosibirsk</w:t>
        </w:r>
        <w:r w:rsidR="00511D52">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511D52" w:rsidRDefault="00511D52">
      <w:pPr>
        <w:ind w:left="-15" w:right="60" w:firstLine="0"/>
      </w:pPr>
    </w:p>
    <w:p w14:paraId="70736AA5" w14:textId="77777777" w:rsidR="00511D52"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511D52">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C169" w14:textId="77777777" w:rsidR="00340C82" w:rsidRDefault="00340C82">
      <w:pPr>
        <w:spacing w:after="0" w:line="240" w:lineRule="auto"/>
      </w:pPr>
      <w:r>
        <w:separator/>
      </w:r>
    </w:p>
  </w:endnote>
  <w:endnote w:type="continuationSeparator" w:id="0">
    <w:p w14:paraId="6CC7C91A" w14:textId="77777777" w:rsidR="00340C82" w:rsidRDefault="00340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ato-Regular">
    <w:altName w:val="Lato"/>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D94B" w14:textId="77777777" w:rsidR="00340C82" w:rsidRDefault="00340C82">
      <w:pPr>
        <w:spacing w:after="0" w:line="240" w:lineRule="auto"/>
      </w:pPr>
      <w:r>
        <w:separator/>
      </w:r>
    </w:p>
  </w:footnote>
  <w:footnote w:type="continuationSeparator" w:id="0">
    <w:p w14:paraId="46084552" w14:textId="77777777" w:rsidR="00340C82" w:rsidRDefault="00340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5B28610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A3848C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9AA8A598"/>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4BAC6FD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2036999979">
    <w:abstractNumId w:val="2"/>
  </w:num>
  <w:num w:numId="2" w16cid:durableId="870267048">
    <w:abstractNumId w:val="0"/>
  </w:num>
  <w:num w:numId="3" w16cid:durableId="1457335751">
    <w:abstractNumId w:val="3"/>
  </w:num>
  <w:num w:numId="4" w16cid:durableId="19905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52"/>
    <w:rsid w:val="000C2DD5"/>
    <w:rsid w:val="00340C82"/>
    <w:rsid w:val="003C424A"/>
    <w:rsid w:val="004D08F3"/>
    <w:rsid w:val="00511D52"/>
    <w:rsid w:val="00735299"/>
    <w:rsid w:val="00E46E6E"/>
    <w:rsid w:val="00FC4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3343"/>
  <w15:docId w15:val="{48E1AE73-2506-4791-8F6F-EA3FC36D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uiPriority w:val="99"/>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 w:type="character" w:customStyle="1" w:styleId="13">
    <w:name w:val="Текст сноски Знак1"/>
    <w:basedOn w:val="a0"/>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F198-A94A-4B93-8E45-13E98356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3962</Words>
  <Characters>22589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3</cp:revision>
  <dcterms:created xsi:type="dcterms:W3CDTF">2026-05-25T11:29:00Z</dcterms:created>
  <dcterms:modified xsi:type="dcterms:W3CDTF">2026-07-17T09:32:00Z</dcterms:modified>
  <dc:language>ru-RU</dc:language>
</cp:coreProperties>
</file>