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09B6A4F8" w:rsidR="00CB520B" w:rsidRDefault="00102B5A" w:rsidP="00E976A9">
      <w:pPr>
        <w:pStyle w:val="Default"/>
        <w:jc w:val="both"/>
        <w:rPr>
          <w:sz w:val="20"/>
          <w:szCs w:val="20"/>
        </w:rPr>
      </w:pPr>
      <w:r w:rsidRPr="00102B5A">
        <w:rPr>
          <w:sz w:val="20"/>
          <w:szCs w:val="20"/>
        </w:rPr>
        <w:t xml:space="preserve">Организатор торгов финансовый управляющий </w:t>
      </w:r>
      <w:r w:rsidR="004B6905" w:rsidRPr="004B6905">
        <w:rPr>
          <w:sz w:val="20"/>
          <w:szCs w:val="20"/>
        </w:rPr>
        <w:t xml:space="preserve">Шелкова Олега Альбертовича (07.07.1967 г/р, пос. Черноморский Северского р-на Краснодарского края, зарегистрирован: Амурская обл., г. Благовещенск, ул. Ленина, д.178, кв.23; СНИЛС: 061-800-887 49, ИНН 280100561207)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="004B6905" w:rsidRPr="004B6905">
        <w:rPr>
          <w:sz w:val="20"/>
          <w:szCs w:val="20"/>
        </w:rPr>
        <w:t>ул.Рахманинова</w:t>
      </w:r>
      <w:proofErr w:type="spellEnd"/>
      <w:r w:rsidR="004B6905" w:rsidRPr="004B6905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Амурской области от 25.11.2024г. по делу № А04-9263/2024</w:t>
      </w:r>
      <w:r w:rsidRPr="00102B5A">
        <w:rPr>
          <w:sz w:val="20"/>
          <w:szCs w:val="20"/>
        </w:rPr>
        <w:t xml:space="preserve">   (процедура реализации имущества гражданина</w:t>
      </w:r>
      <w:r w:rsidR="006066AF" w:rsidRPr="006066AF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4719F9BD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4B6905" w:rsidRPr="004B6905">
        <w:rPr>
          <w:bCs/>
          <w:sz w:val="20"/>
          <w:szCs w:val="20"/>
        </w:rPr>
        <w:t xml:space="preserve">Шелкова Олега Альбертовича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0B9FB031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r w:rsidR="004B6905">
        <w:rPr>
          <w:sz w:val="20"/>
          <w:szCs w:val="20"/>
        </w:rPr>
        <w:t>времени.</w:t>
      </w:r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6C58C738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r w:rsidR="004B6905">
        <w:rPr>
          <w:sz w:val="20"/>
          <w:szCs w:val="20"/>
        </w:rPr>
        <w:t>задатка,</w:t>
      </w:r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2F8E6775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r w:rsidR="004B6905">
        <w:rPr>
          <w:sz w:val="20"/>
          <w:szCs w:val="20"/>
        </w:rPr>
        <w:t>Заявителя,</w:t>
      </w:r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74EAFBE5" w14:textId="77777777" w:rsidR="004B6905" w:rsidRDefault="004B6905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Шелков</w:t>
            </w:r>
            <w:r w:rsidR="00102B5A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О</w:t>
            </w:r>
            <w:r w:rsidR="00102B5A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А</w:t>
            </w:r>
            <w:r w:rsidR="00102B5A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</w:p>
          <w:p w14:paraId="4836999D" w14:textId="09F0C610" w:rsidR="00F059D1" w:rsidRPr="004B690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4B6905" w:rsidRPr="004B6905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 xml:space="preserve">40817810848004901881  </w:t>
            </w:r>
          </w:p>
          <w:p w14:paraId="71AFF69F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02B5A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44464F"/>
    <w:rsid w:val="004B6905"/>
    <w:rsid w:val="00557CFE"/>
    <w:rsid w:val="00597493"/>
    <w:rsid w:val="006066AF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A5567"/>
    <w:rsid w:val="008F2249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37215"/>
    <w:rsid w:val="00CB520B"/>
    <w:rsid w:val="00CB59FB"/>
    <w:rsid w:val="00D21F5B"/>
    <w:rsid w:val="00D306D1"/>
    <w:rsid w:val="00D32FDA"/>
    <w:rsid w:val="00D351EF"/>
    <w:rsid w:val="00D6507A"/>
    <w:rsid w:val="00DC0F59"/>
    <w:rsid w:val="00E976A9"/>
    <w:rsid w:val="00EA42AF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2</cp:revision>
  <cp:lastPrinted>2019-10-03T17:22:00Z</cp:lastPrinted>
  <dcterms:created xsi:type="dcterms:W3CDTF">2026-06-10T08:45:00Z</dcterms:created>
  <dcterms:modified xsi:type="dcterms:W3CDTF">2026-06-10T08:45:00Z</dcterms:modified>
</cp:coreProperties>
</file>