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ind w:left="1656" w:right="0" w:firstLine="44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UserStyle_13"/>
        <w:ind w:left="-284" w:right="0" w:firstLine="0"/>
      </w:pPr>
      <w:r>
        <w:rPr>
          <w:rFonts w:ascii="Georgia" w:hAnsi="Georgia" w:cs="Georgia"/>
        </w:rPr>
        <w:t xml:space="preserve">Договор о задатке </w:t>
      </w:r>
    </w:p>
    <w:p>
      <w:pPr>
        <w:pStyle w:val="UserStyle_13"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</w:p>
    <w:p>
      <w:pPr>
        <w:pStyle w:val="UserStyle_13"/>
        <w:ind w:left="0" w:right="0" w:hanging="284"/>
        <w:jc w:val="both"/>
      </w:pPr>
      <w:r>
        <w:rPr>
          <w:b w:val="0"/>
          <w:bCs w:val="0"/>
          <w:sz w:val="22"/>
          <w:szCs w:val="24"/>
        </w:rPr>
        <w:t xml:space="preserve">г. Санкт-Петербург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«______» _______________</w:t>
      </w:r>
      <w:r>
        <w:rPr>
          <w:b w:val="0"/>
          <w:bCs w:val="0"/>
          <w:sz w:val="22"/>
          <w:szCs w:val="24"/>
        </w:rPr>
        <w:t xml:space="preserve">20__ г. </w:t>
      </w:r>
    </w:p>
    <w:p>
      <w:pPr>
        <w:pStyle w:val="UserStyle_13"/>
        <w:ind w:left="-284" w:right="0" w:firstLine="284"/>
        <w:jc w:val="both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Акционерное общество «Российский аукционный дом», именуемое в дальнейшем «Оператор», в лице руководителя департамента по управлению и развитию ЭТП</w:t>
      </w:r>
      <w:r>
        <w:rPr>
          <w:rFonts w:ascii="Calibri" w:hAnsi="Calibri" w:cs="Calibri"/>
          <w:color w:val="555555"/>
          <w:sz w:val="21"/>
          <w:szCs w:val="21"/>
        </w:rPr>
        <w:t xml:space="preserve"> </w:t>
      </w:r>
      <w:r>
        <w:rPr>
          <w:sz w:val="22"/>
          <w:szCs w:val="22"/>
        </w:rPr>
        <w:t xml:space="preserve">Канцеровой Елены Владимировны, действующей на основании Доверенности № Д-047 от 11.01.2021 , и претендент на участие в торгах по продаже имущества, находящегося в частной собственности_______________________________________________________________________________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</w:t>
      </w:r>
      <w:r>
        <w:rPr>
          <w:sz w:val="24"/>
          <w:szCs w:val="24"/>
        </w:rPr>
        <w:t xml:space="preserve">. Предмет договора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7"/>
        <w:ind w:left="-284" w:right="0" w:firstLine="426"/>
        <w:jc w:val="both"/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следующего имущества (далее - Имущество): </w:t>
      </w:r>
    </w:p>
    <w:p>
      <w:pPr>
        <w:pStyle w:val="UserStyle_23"/>
        <w:ind w:left="0" w:right="-57" w:firstLine="0"/>
        <w:jc w:val="both"/>
      </w:pPr>
      <w:r>
        <w:rPr>
          <w:b/>
          <w:lang w:val="ru-RU"/>
        </w:rPr>
        <w:t xml:space="preserve">__________________________________________________________________________________</w:t>
      </w:r>
    </w:p>
    <w:p>
      <w:pPr>
        <w:pStyle w:val="UserStyle_17"/>
        <w:ind w:left="-284" w:right="0" w:firstLine="0"/>
        <w:jc w:val="both"/>
      </w:pPr>
      <w:r>
        <w:rPr>
          <w:sz w:val="22"/>
          <w:szCs w:val="22"/>
        </w:rPr>
        <w:t xml:space="preserve">проводимого </w:t>
      </w:r>
      <w:r>
        <w:rPr>
          <w:b/>
          <w:sz w:val="22"/>
          <w:szCs w:val="22"/>
        </w:rPr>
        <w:t xml:space="preserve">«__» ___ 20__ г.,</w:t>
      </w:r>
      <w:r>
        <w:rPr>
          <w:sz w:val="22"/>
          <w:szCs w:val="22"/>
        </w:rPr>
        <w:t xml:space="preserve"> перечисляет денежные средства в размере </w:t>
      </w:r>
      <w:r>
        <w:rPr>
          <w:b/>
          <w:sz w:val="22"/>
          <w:szCs w:val="22"/>
        </w:rPr>
        <w:t xml:space="preserve">_____ (____________)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рублей 00 копеек</w:t>
      </w:r>
      <w:r>
        <w:rPr>
          <w:sz w:val="22"/>
          <w:szCs w:val="22"/>
        </w:rPr>
        <w:t xml:space="preserve"> (далее – «Задаток») путем перечисления </w:t>
      </w:r>
      <w:r>
        <w:rPr>
          <w:sz w:val="22"/>
        </w:rPr>
        <w:t xml:space="preserve">на расчетный счет Оператора: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Получатель - АО «Российский аукционный дом» (ИНН 7838430413, КПП 783801001):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р/с № 40702810355000036459 в СЕВЕРО-ЗАПАДНЫЙ БАНК ПАО СБЕРБАНК,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БИК 044030653, к/с 30101810500000000653</w:t>
      </w:r>
      <w:r>
        <w:rPr>
          <w:b/>
          <w:sz w:val="22"/>
          <w:szCs w:val="22"/>
          <w:shd w:val="clear" w:color="auto" w:fill="ffffff"/>
        </w:rPr>
        <w:t xml:space="preserve">.</w:t>
      </w:r>
    </w:p>
    <w:p>
      <w:pPr>
        <w:pStyle w:val="UserStyle_19"/>
        <w:ind w:left="-284" w:right="0" w:firstLine="464"/>
      </w:pPr>
      <w:r>
        <w:rPr>
          <w:szCs w:val="22"/>
        </w:rPr>
        <w:t xml:space="preserve"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</w:t>
      </w:r>
      <w:r>
        <w:t xml:space="preserve"> </w:t>
      </w:r>
      <w:r>
        <w:rPr>
          <w:szCs w:val="22"/>
        </w:rPr>
        <w:t xml:space="preserve">в случае признания Претендента победителем торгов.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 Порядок внесения задатка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2.1. Задаток подлежит перечислению Претендентом на счет Оператора после заключения настоящего Договора и перечисляется непосредственно Претендентом. 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>
      <w:pPr>
        <w:pStyle w:val="UserStyle_19"/>
      </w:pPr>
      <w:r>
        <w:rPr>
          <w:szCs w:val="22"/>
        </w:rPr>
        <w:t xml:space="preserve">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Оператора торгов: «№ Л/с ....Задаток для участия в торгах».</w:t>
      </w:r>
    </w:p>
    <w:p>
      <w:pPr>
        <w:pStyle w:val="UserStyle_19"/>
      </w:pPr>
      <w:r>
        <w:rPr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Оператора, указанный в п.1.1 настоящего Договора.</w:t>
      </w:r>
    </w:p>
    <w:p>
      <w:pPr>
        <w:pStyle w:val="UserStyle_19"/>
      </w:pPr>
      <w:r>
        <w:rPr>
          <w:szCs w:val="22"/>
        </w:rPr>
        <w:t xml:space="preserve">В ходе исполнения настоящего Договора Стороны принимают условия Регламента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 (далее – Регламент), размещенного на электронной торговой площадке, принадлежащей Оператору, по адресу в сети интернет: </w:t>
      </w:r>
      <w:r>
        <w:fldChar w:fldCharType="begin"/>
      </w:r>
      <w:r>
        <w:instrText xml:space="preserve"> HYPERLINK "http://lot-online.ru/"</w:instrText>
      </w:r>
      <w:r>
        <w:fldChar w:fldCharType="separate"/>
      </w:r>
      <w:r>
        <w:rPr>
          <w:rStyle w:val="Hyperlink"/>
          <w:szCs w:val="22"/>
        </w:rPr>
        <w:t xml:space="preserve">http://lot-online.ru</w:t>
      </w:r>
      <w:r>
        <w:fldChar w:fldCharType="end"/>
      </w:r>
      <w:r>
        <w:rPr>
          <w:szCs w:val="22"/>
        </w:rPr>
        <w:t xml:space="preserve">.</w:t>
      </w:r>
    </w:p>
    <w:p>
      <w:pPr>
        <w:pStyle w:val="UserStyle_19"/>
      </w:pPr>
      <w:r>
        <w:rPr>
          <w:szCs w:val="22"/>
        </w:rPr>
        <w:t xml:space="preserve">2.2. Задаток должен быть внесен Претендентом не позднее даты окончания приёма заявок и должен поступить </w:t>
      </w:r>
      <w:r>
        <w:t xml:space="preserve">на указанный в п.1.1 настоящего Договора </w:t>
      </w:r>
      <w:r>
        <w:rPr>
          <w:szCs w:val="22"/>
        </w:rPr>
        <w:t xml:space="preserve">расчетный </w:t>
      </w:r>
      <w:r>
        <w:t xml:space="preserve">счет Оператора </w:t>
      </w:r>
      <w:r>
        <w:rPr>
          <w:szCs w:val="22"/>
        </w:rPr>
        <w:t xml:space="preserve">не позднее даты, указанной в информационном сообщении о проведении торгов, а именно </w:t>
      </w:r>
      <w:r>
        <w:rPr>
          <w:b/>
          <w:szCs w:val="22"/>
        </w:rPr>
        <w:t xml:space="preserve">«____» ______ 20_ г.</w:t>
      </w:r>
      <w:r>
        <w:rPr>
          <w:szCs w:val="22"/>
        </w:rPr>
        <w:t xml:space="preserve"> Задаток считается внесенным с даты поступления всей суммы Задатка на указанный в п.1.1 счет Оператора.</w:t>
      </w:r>
    </w:p>
    <w:p>
      <w:pPr>
        <w:pStyle w:val="UserStyle_18"/>
        <w:ind w:left="-284" w:right="0" w:firstLine="284"/>
      </w:pPr>
      <w:r>
        <w:rPr>
          <w:szCs w:val="22"/>
        </w:rPr>
        <w:t xml:space="preserve">В случае, когда сумма Задатка от Претендента не зачислена на расчетный счет Оператора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Оператором не принимается.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ind w:left="-851" w:right="0" w:firstLine="425"/>
        <w:jc w:val="center"/>
      </w:pPr>
      <w:r>
        <w:rPr>
          <w:b/>
          <w:bCs/>
          <w:sz w:val="22"/>
          <w:szCs w:val="22"/>
          <w:lang w:val="en-US"/>
        </w:rPr>
        <w:t xml:space="preserve">III</w:t>
      </w:r>
      <w:r>
        <w:rPr>
          <w:b/>
          <w:bCs/>
          <w:sz w:val="22"/>
          <w:szCs w:val="22"/>
        </w:rPr>
        <w:t xml:space="preserve">. Порядок возврата и удержания задатка</w:t>
      </w:r>
    </w:p>
    <w:p>
      <w:pPr>
        <w:pStyle w:val="Normal"/>
        <w:ind w:left="-851" w:right="0" w:firstLine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4"/>
        </w:rPr>
        <w:t xml:space="preserve">3.1. Задаток возвращается Претенденту в случаях, порядке и в сроки, которые установлены Регламентом</w:t>
      </w:r>
      <w:r>
        <w:rPr>
          <w:rFonts w:ascii="NTTimes/Cyrillic" w:hAnsi="NTTimes/Cyrillic" w:cs="NTTimes/Cyrillic"/>
          <w:sz w:val="22"/>
          <w:szCs w:val="24"/>
        </w:rPr>
        <w:t xml:space="preserve">.</w:t>
      </w:r>
      <w:r>
        <w:rPr>
          <w:sz w:val="22"/>
          <w:szCs w:val="24"/>
        </w:rPr>
        <w:t xml:space="preserve"> </w:t>
      </w:r>
    </w:p>
    <w:p>
      <w:pPr>
        <w:pStyle w:val="Normal"/>
        <w:tabs>
          <w:tab w:val="left" w:pos="9781" w:leader="none"/>
        </w:tabs>
        <w:ind w:left="-284" w:right="27" w:firstLine="284"/>
        <w:jc w:val="both"/>
      </w:pPr>
      <w:r>
        <w:rPr>
          <w:sz w:val="22"/>
          <w:szCs w:val="24"/>
        </w:rPr>
        <w:t xml:space="preserve">3.2. В случае отмены торгов Оператор обязуется возвратить сумму внесенного Претендентом Задатка в течение 5 (пяти) банковских дней со дня отмены торгов Организатором.</w:t>
      </w:r>
    </w:p>
    <w:p>
      <w:pPr>
        <w:pStyle w:val="UserStyle_16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3.3.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3.4. В случае признания Претендента победителем торгов сумма внесенного Задатка засчитывается в счет оплаты по договору, заключенному по итогам торгов.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3.5.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>
      <w:pPr>
        <w:pStyle w:val="UserStyle_20"/>
        <w:tabs>
          <w:tab w:val="left" w:pos="9781" w:leader="none"/>
        </w:tabs>
        <w:ind w:left="-284" w:right="27" w:firstLine="710"/>
      </w:pPr>
      <w:r>
        <w:rPr>
          <w:sz w:val="22"/>
        </w:rPr>
        <w:t xml:space="preserve">Претендент подтверждает, что ознакомился с состоянием имущества, подлежащего реализации на торгах, и документацией к нему. Претензий по качеству, состоянию имущества и документации к нему не имеет.</w:t>
      </w:r>
    </w:p>
    <w:p>
      <w:pPr>
        <w:pStyle w:val="Normal"/>
        <w:widowControl w:val="off"/>
        <w:ind w:left="-284" w:right="0" w:firstLine="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851" w:right="565" w:firstLine="284"/>
      </w:pP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. Заключительные положения  </w:t>
      </w:r>
    </w:p>
    <w:p>
      <w:pPr>
        <w:pStyle w:val="UserStyle_13"/>
        <w:ind w:left="-851" w:right="565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4.1. Настоящий Договор вступает в силу с момента его подписания Сторонами электронной подписью и прекращает свое действие после исполнения Сторонами всех обязательств по нему.</w:t>
      </w:r>
    </w:p>
    <w:p>
      <w:pPr>
        <w:pStyle w:val="Normal"/>
        <w:ind w:left="-284" w:right="27" w:firstLine="284"/>
        <w:jc w:val="both"/>
      </w:pPr>
      <w:r>
        <w:rPr>
          <w:sz w:val="22"/>
          <w:szCs w:val="24"/>
        </w:rPr>
        <w:t xml:space="preserve">В соответствии с п.3 ст.438 ГК РФ настоящий Договор считается заключенным Сторонами в любом случае с момента перечисления Претендентом на счет Оператора суммы задатка в полном объеме.</w:t>
      </w:r>
    </w:p>
    <w:p>
      <w:pPr>
        <w:pStyle w:val="UserStyle_16"/>
        <w:ind w:left="-284" w:right="27" w:firstLine="284"/>
      </w:pPr>
      <w:r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Оператора.</w:t>
      </w:r>
    </w:p>
    <w:p>
      <w:pPr>
        <w:pStyle w:val="UserStyle_13"/>
        <w:ind w:left="-284" w:right="27" w:firstLine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284" w:right="27" w:firstLine="284"/>
      </w:pPr>
      <w:r>
        <w:rPr>
          <w:sz w:val="22"/>
          <w:szCs w:val="22"/>
          <w:lang w:val="en-US"/>
        </w:rPr>
        <w:t xml:space="preserve">V</w:t>
      </w:r>
      <w:r>
        <w:rPr>
          <w:sz w:val="22"/>
          <w:szCs w:val="22"/>
        </w:rPr>
        <w:t xml:space="preserve">. Реквизиты и подписи сторон:</w:t>
      </w:r>
    </w:p>
    <w:p>
      <w:pPr>
        <w:pStyle w:val="UserStyle_13"/>
        <w:ind w:left="-284" w:right="27" w:firstLine="284"/>
        <w:rPr>
          <w:sz w:val="22"/>
          <w:szCs w:val="24"/>
        </w:rPr>
      </w:pPr>
      <w:r>
        <w:rPr>
          <w:sz w:val="22"/>
          <w:szCs w:val="24"/>
        </w:rPr>
      </w:r>
    </w:p>
    <w:tbl>
      <w:tblPr>
        <w:tblW w:w="0" w:type="auto"/>
        <w:tblInd w:w="-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66"/>
        <w:gridCol w:w="552"/>
        <w:gridCol w:w="5038"/>
      </w:tblGrid>
      <w:tr>
        <w:trPr>
          <w:trHeight w:val="3107"/>
        </w:trPr>
        <w:tc>
          <w:tcPr>
            <w:tcW w:w="48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175" w:right="27" w:firstLine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ОПЕРАТОР</w:t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:</w:t>
            </w:r>
          </w:p>
          <w:p>
            <w:pPr>
              <w:pStyle w:val="Normal"/>
              <w:ind w:left="175" w:right="27" w:firstLine="0"/>
              <w:jc w:val="both"/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Акционерное общество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«Российский аукционный дом»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pStyle w:val="Normal"/>
              <w:jc w:val="both"/>
            </w:pPr>
            <w:r>
              <w:t xml:space="preserve">ИНН 7838430413, </w:t>
            </w:r>
          </w:p>
          <w:p>
            <w:pPr>
              <w:pStyle w:val="Normal"/>
              <w:jc w:val="both"/>
            </w:pPr>
            <w:r>
              <w:t xml:space="preserve">ОГРН 1097847233351, </w:t>
            </w:r>
          </w:p>
          <w:p>
            <w:pPr>
              <w:pStyle w:val="Normal"/>
              <w:jc w:val="both"/>
            </w:pPr>
            <w:r>
              <w:t xml:space="preserve">КПП 783801001,</w:t>
            </w:r>
          </w:p>
          <w:p>
            <w:pPr>
              <w:pStyle w:val="Normal"/>
              <w:jc w:val="both"/>
            </w:pPr>
            <w:r>
              <w:t xml:space="preserve">Санкт-Петербург, пер. Гривцова, д. 5, литера В</w:t>
            </w:r>
          </w:p>
          <w:p>
            <w:pPr>
              <w:pStyle w:val="Normal"/>
              <w:widowControl w:val="off"/>
            </w:pPr>
            <w:r>
              <w:t xml:space="preserve">Корр/счет № </w:t>
            </w:r>
            <w:r>
              <w:rPr>
                <w:color w:val="2e2e2e"/>
              </w:rPr>
              <w:t xml:space="preserve">30101810145250000411,</w:t>
            </w:r>
          </w:p>
          <w:p>
            <w:pPr>
              <w:pStyle w:val="Normal"/>
              <w:widowControl w:val="off"/>
            </w:pPr>
            <w:r>
              <w:t xml:space="preserve">р/с № </w:t>
            </w:r>
            <w:r>
              <w:rPr>
                <w:color w:val="2e2e2e"/>
              </w:rPr>
              <w:t xml:space="preserve">40702810726260000311</w:t>
            </w:r>
            <w:r>
              <w:rPr>
                <w:shd w:val="clear" w:color="auto" w:fill="ffffff"/>
              </w:rPr>
              <w:t xml:space="preserve">,</w:t>
            </w:r>
            <w:r>
              <w:t xml:space="preserve"> </w:t>
            </w:r>
            <w:r>
              <w:rPr>
                <w:color w:val="2e2e2e"/>
              </w:rPr>
              <w:t xml:space="preserve">Филиал «ЦЕНТРАЛЬНЫЙ» БАНКА ВТБ (ПАО) г. Москва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БИК </w:t>
            </w:r>
            <w:r>
              <w:rPr>
                <w:color w:val="2e2e2e"/>
              </w:rPr>
              <w:t xml:space="preserve">044525411</w:t>
            </w:r>
            <w:r>
              <w:rPr>
                <w:szCs w:val="24"/>
                <w:shd w:val="clear" w:color="auto" w:fill="ffffff"/>
              </w:rPr>
              <w:t xml:space="preserve">.</w:t>
            </w:r>
          </w:p>
          <w:p>
            <w:pPr>
              <w:pStyle w:val="Normal"/>
              <w:tabs>
                <w:tab w:val="left" w:pos="938" w:leader="none"/>
              </w:tabs>
              <w:ind w:left="0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938" w:leader="none"/>
              </w:tabs>
              <w:ind w:left="175" w:right="27" w:firstLine="0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284" w:right="27" w:firstLine="284"/>
              <w:jc w:val="both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0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tabs>
                <w:tab w:val="left" w:pos="840" w:leader="none"/>
                <w:tab w:val="center" w:pos="2222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</w:rPr>
              <w:tab/>
              <w:tab/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ПРЕТЕНДЕНТ:</w:t>
            </w:r>
          </w:p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ind w:left="-284" w:right="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left="-284" w:right="27" w:firstLine="0"/>
            </w:pPr>
            <w:r>
              <w:rPr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8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221"/>
            </w:pPr>
            <w:r>
              <w:rPr>
                <w:sz w:val="22"/>
                <w:szCs w:val="22"/>
              </w:rPr>
              <w:t xml:space="preserve">___________________________________________</w:t>
            </w:r>
          </w:p>
          <w:p>
            <w:pPr>
              <w:pStyle w:val="Normal"/>
              <w:ind w:left="-63" w:right="27" w:firstLine="0"/>
            </w:pPr>
            <w:r>
              <w:rPr>
                <w:i/>
              </w:rPr>
              <w:t xml:space="preserve">(физические и юридические лица в том числе должны указать банковские реквизиты</w:t>
            </w:r>
            <w:r>
              <w:t xml:space="preserve">)</w:t>
            </w:r>
          </w:p>
          <w:p>
            <w:pPr>
              <w:pStyle w:val="Normal"/>
              <w:ind w:left="-63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1206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</w:t>
            </w:r>
          </w:p>
        </w:tc>
      </w:tr>
    </w:tbl>
    <w:sectPr>
      <w:footerReference w:type="default" r:id="rId6"/>
      <w:footerReference w:type="first" r:id="rId7"/>
      <w:footnotePr>
        <w:numRestart w:val="continuous"/>
      </w:footnotePr>
      <w:type w:val="nextPage"/>
      <w:pgSz w:w="11906" w:h="16838"/>
      <w:pgMar w:top="284" w:right="567" w:bottom="454" w:left="1134" w:foo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Verdana">
    <w:panose1 w:val="020B0604030504040204"/>
  </w:font>
  <w:font w:name="MS Mincho">
    <w:panose1 w:val="02020603050405090304"/>
  </w:font>
  <w:font w:name="Tahoma">
    <w:panose1 w:val="020B060403050404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NTTimes/Cyrillic">
    <w:panose1 w:val="02000603000000000000"/>
  </w:font>
  <w:font w:name="Symbol">
    <w:panose1 w:val="050100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</w:p>
                        <w:p>
                          <w:pPr>
                            <w:pStyle w:val="Normal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so-position-horizontal:right;mso-position-vertical-relative:text;margin-top:0.05pt;mso-position-vertical:absolute;width:1.1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Footer"/>
                    </w:pPr>
                  </w:p>
                  <w:p>
                    <w:pPr>
                      <w:pStyle w:val="Normal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  <w:rPr>
      <w:b w:val="0"/>
    </w:rPr>
  </w:style>
  <w:style w:type="character" w:styleId="UserStyle_2">
    <w:name w:val="WW8Num1z3"/>
    <w:next w:val="UserStyle_2"/>
    <w:link w:val="Normal"/>
  </w:style>
  <w:style w:type="character" w:styleId="UserStyle_3">
    <w:name w:val="WW8Num1z4"/>
    <w:next w:val="UserStyle_3"/>
    <w:link w:val="Normal"/>
  </w:style>
  <w:style w:type="character" w:styleId="UserStyle_4">
    <w:name w:val="WW8Num1z5"/>
    <w:next w:val="UserStyle_4"/>
    <w:link w:val="Normal"/>
  </w:style>
  <w:style w:type="character" w:styleId="UserStyle_5">
    <w:name w:val="WW8Num1z6"/>
    <w:next w:val="UserStyle_5"/>
    <w:link w:val="Normal"/>
  </w:style>
  <w:style w:type="character" w:styleId="UserStyle_6">
    <w:name w:val="WW8Num1z7"/>
    <w:next w:val="UserStyle_6"/>
    <w:link w:val="Normal"/>
  </w:style>
  <w:style w:type="character" w:styleId="UserStyle_7">
    <w:name w:val="WW8Num1z8"/>
    <w:next w:val="UserStyle_7"/>
    <w:link w:val="Normal"/>
  </w:style>
  <w:style w:type="character" w:styleId="UserStyle_8">
    <w:name w:val="WW8Num2z0"/>
    <w:next w:val="UserStyle_8"/>
    <w:link w:val="Normal"/>
    <w:rPr>
      <w:rFonts w:ascii="Symbol" w:hAnsi="Symbol" w:cs="Symbol"/>
    </w:rPr>
  </w:style>
  <w:style w:type="character" w:styleId="UserStyle_9">
    <w:name w:val="WW8Num2z1"/>
    <w:next w:val="UserStyle_9"/>
    <w:link w:val="Normal"/>
    <w:rPr>
      <w:rFonts w:ascii="Courier New" w:hAnsi="Courier New" w:cs="Courier New"/>
    </w:rPr>
  </w:style>
  <w:style w:type="character" w:styleId="UserStyle_10">
    <w:name w:val="WW8Num2z2"/>
    <w:next w:val="UserStyle_10"/>
    <w:link w:val="Normal"/>
    <w:rPr>
      <w:rFonts w:ascii="Wingdings" w:hAnsi="Wingdings" w:cs="Wingdings"/>
    </w:rPr>
  </w:style>
  <w:style w:type="character" w:styleId="UserStyle_11">
    <w:name w:val="Основной шрифт абзаца"/>
    <w:next w:val="UserStyle_11"/>
    <w:link w:val="Normal"/>
  </w:style>
  <w:style w:type="character" w:styleId="PageNumber">
    <w:name w:val="Номер страницы"/>
    <w:basedOn w:val="UserStyle_11"/>
    <w:next w:val="PageNumber"/>
    <w:link w:val="Normal"/>
  </w:style>
  <w:style w:type="character" w:styleId="UserStyle_12">
    <w:name w:val="Текст сноски Знак"/>
    <w:next w:val="UserStyle_12"/>
    <w:link w:val="Normal"/>
    <w:rPr>
      <w:rFonts w:ascii="NTTimes/Cyrillic" w:hAnsi="NTTimes/Cyrillic" w:cs="NTTimes/Cyrillic"/>
      <w:lang w:val="en-US"/>
    </w:rPr>
  </w:style>
  <w:style w:type="character" w:styleId="Hyperlink">
    <w:name w:val="Интернет-ссылка"/>
    <w:next w:val="Hyperlink"/>
    <w:link w:val="Normal"/>
    <w:rPr>
      <w:color w:val="0563c1"/>
      <w:u w:val="single"/>
    </w:rPr>
  </w:style>
  <w:style w:type="paragraph" w:styleId="UserStyle_13">
    <w:name w:val="Заголовок"/>
    <w:basedOn w:val="Normal"/>
    <w:next w:val="BodyText"/>
    <w:link w:val="Normal"/>
    <w:pPr>
      <w:jc w:val="center"/>
    </w:pPr>
    <w:rPr>
      <w:b/>
      <w:bCs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76" w:lineRule="auto"/>
    </w:pPr>
  </w:style>
  <w:style w:type="paragraph" w:styleId="List">
    <w:name w:val="Список"/>
    <w:basedOn w:val="BodyText"/>
    <w:next w:val="List"/>
    <w:link w:val="Normal"/>
    <w:rPr>
      <w:rFonts w:cs="Lohit Devanagari"/>
    </w:rPr>
  </w:style>
  <w:style w:type="paragraph" w:styleId="Caption">
    <w:name w:val="Название"/>
    <w:basedOn w:val="Normal"/>
    <w:next w:val="Caption"/>
    <w:link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14">
    <w:name w:val="Указатель"/>
    <w:basedOn w:val="Normal"/>
    <w:next w:val="UserStyle_14"/>
    <w:link w:val="Normal"/>
    <w:pPr>
      <w:suppressLineNumbers/>
    </w:pPr>
    <w:rPr>
      <w:rFonts w:cs="Lohit Devanagari"/>
    </w:rPr>
  </w:style>
  <w:style w:type="paragraph" w:styleId="UserStyle_15">
    <w:name w:val="Верхний и нижний колонтитулы"/>
    <w:basedOn w:val="Normal"/>
    <w:next w:val="UserStyle_15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paragraph" w:styleId="BodyTextIndent">
    <w:name w:val="Основной текст с отступом"/>
    <w:basedOn w:val="Normal"/>
    <w:next w:val="BodyTextIndent"/>
    <w:link w:val="Normal"/>
    <w:rPr>
      <w:sz w:val="24"/>
      <w:szCs w:val="24"/>
    </w:rPr>
  </w:style>
  <w:style w:type="paragraph" w:styleId="UserStyle_16">
    <w:name w:val="Основной текст 3"/>
    <w:basedOn w:val="Normal"/>
    <w:next w:val="UserStyle_16"/>
    <w:link w:val="Normal"/>
    <w:pPr>
      <w:jc w:val="both"/>
    </w:pPr>
    <w:rPr>
      <w:sz w:val="24"/>
      <w:szCs w:val="24"/>
    </w:rPr>
  </w:style>
  <w:style w:type="paragraph" w:styleId="UserStyle_17">
    <w:name w:val="Основной текст 2"/>
    <w:basedOn w:val="Normal"/>
    <w:next w:val="UserStyle_17"/>
    <w:link w:val="Normal"/>
    <w:rPr>
      <w:sz w:val="24"/>
      <w:szCs w:val="24"/>
    </w:rPr>
  </w:style>
  <w:style w:type="paragraph" w:styleId="UserStyle_18">
    <w:name w:val="Body Text 2"/>
    <w:basedOn w:val="Normal"/>
    <w:next w:val="UserStyle_18"/>
    <w:link w:val="Normal"/>
    <w:pPr>
      <w:ind w:left="0" w:right="0" w:firstLine="567"/>
      <w:jc w:val="both"/>
    </w:pPr>
    <w:rPr>
      <w:sz w:val="22"/>
    </w:rPr>
  </w:style>
  <w:style w:type="paragraph" w:styleId="UserStyle_19">
    <w:name w:val="Основной текст с отступом 3"/>
    <w:basedOn w:val="Normal"/>
    <w:next w:val="UserStyle_19"/>
    <w:link w:val="Normal"/>
    <w:pPr>
      <w:ind w:left="-284" w:right="0" w:firstLine="284"/>
      <w:jc w:val="both"/>
    </w:pPr>
    <w:rPr>
      <w:sz w:val="22"/>
      <w:szCs w:val="24"/>
    </w:rPr>
  </w:style>
  <w:style w:type="paragraph" w:styleId="UserStyle_20">
    <w:name w:val="Цитата"/>
    <w:basedOn w:val="Normal"/>
    <w:next w:val="UserStyle_20"/>
    <w:link w:val="Normal"/>
    <w:pPr>
      <w:ind w:left="-851" w:right="565" w:firstLine="284"/>
      <w:jc w:val="both"/>
    </w:pPr>
    <w:rPr>
      <w:sz w:val="24"/>
      <w:szCs w:val="24"/>
    </w:rPr>
  </w:style>
  <w:style w:type="paragraph" w:styleId="UserStyle_21">
    <w:name w:val="Текст выноски"/>
    <w:basedOn w:val="Normal"/>
    <w:next w:val="UserStyle_21"/>
    <w:link w:val="Normal"/>
    <w:rPr>
      <w:rFonts w:ascii="Tahoma" w:hAnsi="Tahoma" w:cs="Tahoma"/>
      <w:sz w:val="16"/>
      <w:szCs w:val="16"/>
    </w:rPr>
  </w:style>
  <w:style w:type="paragraph" w:styleId="UserStyle_22">
    <w:name w:val=" Знак Знак"/>
    <w:basedOn w:val="Normal"/>
    <w:next w:val="UserStyle_22"/>
    <w:link w:val="Normal"/>
    <w:pPr>
      <w:spacing w:before="0" w:after="160" w:line="240" w:lineRule="exact"/>
    </w:pPr>
    <w:rPr>
      <w:rFonts w:ascii="Verdana" w:hAnsi="Verdana" w:eastAsia="MS Mincho" w:cs="Verdana"/>
      <w:lang w:val="en-GB"/>
    </w:rPr>
  </w:style>
  <w:style w:type="paragraph" w:styleId="UserStyle_23">
    <w:name w:val="Абзац списка"/>
    <w:basedOn w:val="Normal"/>
    <w:next w:val="UserStyle_23"/>
    <w:link w:val="Normal"/>
    <w:pPr>
      <w:spacing w:before="0" w:after="0"/>
      <w:ind w:left="720" w:right="0" w:firstLine="0"/>
      <w:contextualSpacing/>
    </w:pPr>
    <w:rPr>
      <w:rFonts w:ascii="NTTimes/Cyrillic" w:hAnsi="NTTimes/Cyrillic" w:cs="NTTimes/Cyrillic"/>
      <w:sz w:val="24"/>
      <w:lang w:val="en-US"/>
    </w:rPr>
  </w:style>
  <w:style w:type="paragraph" w:styleId="FootnoteText">
    <w:name w:val="Сноска"/>
    <w:basedOn w:val="Normal"/>
    <w:next w:val="FootnoteText"/>
    <w:link w:val="Normal"/>
    <w:rPr>
      <w:rFonts w:ascii="NTTimes/Cyrillic" w:hAnsi="NTTimes/Cyrillic" w:cs="NTTimes/Cyrillic"/>
      <w:lang w:val="en-US"/>
    </w:rPr>
  </w:style>
  <w:style w:type="paragraph" w:styleId="UserStyle_24">
    <w:name w:val="Содержимое таблицы"/>
    <w:basedOn w:val="Normal"/>
    <w:next w:val="UserStyle_24"/>
    <w:link w:val="Normal"/>
    <w:pPr>
      <w:suppressLineNumbers/>
    </w:pPr>
  </w:style>
  <w:style w:type="paragraph" w:styleId="UserStyle_25">
    <w:name w:val="Заголовок таблицы"/>
    <w:basedOn w:val="UserStyle_24"/>
    <w:next w:val="UserStyle_25"/>
    <w:link w:val="Normal"/>
    <w:pPr>
      <w:suppressLineNumbers/>
      <w:jc w:val="center"/>
    </w:pPr>
    <w:rPr>
      <w:b/>
      <w:bCs/>
    </w:rPr>
  </w:style>
  <w:style w:type="paragraph" w:styleId="UserStyle_26">
    <w:name w:val="Содержимое врезки"/>
    <w:basedOn w:val="Normal"/>
    <w:next w:val="UserStyle_26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Канцерова Елена</cp:lastModifiedBy>
  <cp:revision>3</cp:revision>
  <dcterms:created xsi:type="dcterms:W3CDTF">2021-09-29T14:49:00Z</dcterms:created>
  <dcterms:modified xsi:type="dcterms:W3CDTF">2021-09-29T14:50:00Z</dcterms:modified>
</cp:coreProperties>
</file>