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82D852A" w14:textId="77777777">
      <w:pPr>
        <w:pStyle w:val="877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155A6E4F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49467C34" w14:textId="77777777">
      <w:pPr>
        <w:pStyle w:val="877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3017B6E0" w14:textId="77777777">
      <w:pPr>
        <w:pStyle w:val="877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18CF7D01" w14:textId="77777777">
      <w:pPr>
        <w:pStyle w:val="877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6AFB49BB" w14:textId="3F486533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 xml:space="preserve">01.01.202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№ Д-0</w:t>
      </w:r>
      <w:r>
        <w:rPr>
          <w:sz w:val="22"/>
          <w:szCs w:val="22"/>
        </w:rPr>
        <w:t xml:space="preserve"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 w14:paraId="454877E1" w14:textId="77777777">
      <w:pPr>
        <w:pBdr/>
        <w:spacing/>
        <w:ind w:right="-57" w:firstLine="540"/>
        <w:jc w:val="both"/>
        <w:rPr/>
      </w:pPr>
      <w:r>
        <w:t xml:space="preserve">1. В соответствии с услов</w:t>
      </w:r>
      <w:r>
        <w:t xml:space="preserve">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  <w:r/>
    </w:p>
    <w:p w14:paraId="1871D6E4" w14:textId="40B664C1">
      <w:pPr>
        <w:pBdr/>
        <w:spacing/>
        <w:ind/>
        <w:jc w:val="both"/>
        <w:rPr>
          <w:rFonts w:eastAsia="SimSun"/>
          <w:b w:val="0"/>
          <w:bCs w:val="0"/>
          <w:shd w:val="clear" w:color="auto" w:fill="ffffff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>
        <w:rPr>
          <w:rFonts w:eastAsia="SimSun"/>
          <w:b/>
          <w:bCs/>
          <w:shd w:val="clear" w:color="auto" w:fill="ffffff"/>
          <w:lang w:eastAsia="hi-I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/>
          <w:b w:val="0"/>
          <w:bCs w:val="0"/>
          <w:shd w:val="clear" w:color="auto" w:fill="ffffff"/>
          <w:lang w:eastAsia="hi-IN"/>
        </w:rPr>
        <w:t xml:space="preserve">(далее- Лот)</w:t>
      </w:r>
      <w:r>
        <w:rPr>
          <w:rFonts w:eastAsia="SimSun"/>
          <w:b w:val="0"/>
          <w:bCs w:val="0"/>
          <w:shd w:val="clear" w:color="auto" w:fill="ffffff"/>
          <w:lang w:eastAsia="hi-IN"/>
        </w:rPr>
      </w:r>
      <w:r>
        <w:rPr>
          <w:rFonts w:eastAsia="SimSun"/>
          <w:b w:val="0"/>
          <w:bCs w:val="0"/>
          <w:shd w:val="clear" w:color="auto" w:fill="ffffff"/>
          <w:lang w:eastAsia="hi-IN"/>
        </w:rPr>
      </w:r>
    </w:p>
    <w:p w14:paraId="13F51433" w14:textId="76F767B4">
      <w:pPr>
        <w:pBdr/>
        <w:spacing/>
        <w:ind/>
        <w:rPr/>
      </w:pPr>
      <w:r>
        <w:t xml:space="preserve">перечисляет денежные средства </w:t>
      </w:r>
      <w:r>
        <w:t xml:space="preserve">в размере </w:t>
      </w:r>
      <w:r>
        <w:t xml:space="preserve">_______________</w:t>
      </w:r>
      <w:r>
        <w:rPr>
          <w:b/>
          <w:bCs/>
        </w:rPr>
        <w:t xml:space="preserve"> (</w:t>
      </w:r>
      <w:r>
        <w:rPr>
          <w:b/>
          <w:bCs/>
        </w:rPr>
        <w:t xml:space="preserve">__________________________</w:t>
      </w:r>
      <w:r>
        <w:rPr>
          <w:b/>
          <w:bCs/>
        </w:rPr>
        <w:t xml:space="preserve">) рублей 00 коп.</w:t>
      </w:r>
      <w:r>
        <w:rPr>
          <w:b/>
          <w:bCs/>
          <w:szCs w:val="22"/>
          <w:lang w:eastAsia="ru-RU"/>
        </w:rPr>
        <w:t xml:space="preserve"> </w:t>
      </w:r>
      <w:r>
        <w:t xml:space="preserve"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  <w:r/>
    </w:p>
    <w:p w14:paraId="3C149AF4" w14:textId="77777777"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 w14:paraId="7D8965D8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 w14:paraId="1B14FC31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 w14:paraId="0F1BACDC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rFonts w:eastAsia="SimSun"/>
          <w:b w:val="0"/>
          <w:bCs w:val="0"/>
          <w:shd w:val="clear" w:color="auto" w:fill="ffffff"/>
          <w:lang w:eastAsia="hi-IN"/>
        </w:rPr>
        <w:t xml:space="preserve">Лот</w:t>
      </w:r>
      <w:r/>
      <w:r>
        <w:t xml:space="preserve">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</w:r>
      <w:r>
        <w:rPr>
          <w:rFonts w:eastAsia="SimSun"/>
          <w:b w:val="0"/>
          <w:bCs w:val="0"/>
          <w:shd w:val="clear" w:color="auto" w:fill="ffffff"/>
          <w:lang w:eastAsia="hi-IN"/>
        </w:rPr>
        <w:t xml:space="preserve">Лот</w:t>
      </w:r>
      <w:r/>
      <w:r>
        <w:rPr>
          <w:b/>
        </w:rPr>
        <w:t xml:space="preserve">а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33C32B38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</w:r>
      <w:r>
        <w:rPr>
          <w:rFonts w:eastAsia="SimSun"/>
          <w:b w:val="0"/>
          <w:bCs w:val="0"/>
          <w:shd w:val="clear" w:color="auto" w:fill="ffffff"/>
          <w:lang w:eastAsia="hi-IN"/>
        </w:rPr>
        <w:t xml:space="preserve">Лот</w:t>
      </w:r>
      <w:r/>
      <w:r>
        <w:rPr>
          <w:b/>
        </w:rPr>
        <w:t xml:space="preserve">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615DDF21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6945E262" w14:textId="78F4BD0C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eastAsia="SimSun"/>
          <w:b w:val="0"/>
          <w:bCs w:val="0"/>
          <w:shd w:val="clear" w:color="auto" w:fill="ffffff"/>
          <w:lang w:eastAsia="hi-IN"/>
        </w:rPr>
        <w:t xml:space="preserve">Лот</w:t>
      </w:r>
      <w:r/>
      <w:r>
        <w:t xml:space="preserve">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>
        <w:t xml:space="preserve">проведении торгов</w:t>
      </w:r>
      <w:r>
        <w:t xml:space="preserve">.</w:t>
      </w:r>
      <w:r/>
    </w:p>
    <w:p w14:paraId="390AAAEF" w14:textId="77777777">
      <w:pPr>
        <w:pBdr/>
        <w:spacing/>
        <w:ind w:firstLine="567"/>
        <w:jc w:val="both"/>
        <w:rPr/>
      </w:pPr>
      <w:r>
        <w:t xml:space="preserve"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/>
    </w:p>
    <w:p w14:paraId="694C6ACA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33A9AAAA" w14:textId="77777777">
      <w:pPr>
        <w:pBdr/>
        <w:spacing/>
        <w:ind w:firstLine="567"/>
        <w:jc w:val="both"/>
        <w:rPr>
          <w:sz w:val="24"/>
          <w:szCs w:val="24"/>
        </w:rPr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944"/>
        </w:rPr>
        <w:footnoteReference w:id="2"/>
      </w:r>
      <w: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 применяется в части, не противоречащей настоящему Договору и информационному сообщению.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F050916" w14:textId="77777777">
      <w:pPr>
        <w:pBdr/>
        <w:spacing/>
        <w:ind w:firstLine="567"/>
        <w:jc w:val="both"/>
        <w:rPr>
          <w:highlight w:val="none"/>
        </w:rPr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</w:t>
      </w:r>
      <w: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>
        <w:rPr>
          <w:highlight w:val="none"/>
        </w:rPr>
      </w:r>
    </w:p>
    <w:p w14:paraId="790DDF6D">
      <w:pPr>
        <w:pBdr/>
        <w:spacing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8" w:name="_Hlk171615364"/>
      <w:r>
        <w:rPr>
          <w:rFonts w:cs="Times New Roman"/>
          <w:sz w:val="24"/>
          <w:szCs w:val="24"/>
        </w:rPr>
        <w:t xml:space="preserve">аукциона или единственным участником</w:t>
      </w:r>
      <w:bookmarkEnd w:id="8"/>
      <w:r>
        <w:rPr>
          <w:rFonts w:cs="Times New Roman"/>
          <w:sz w:val="24"/>
          <w:szCs w:val="24"/>
        </w:rPr>
        <w:t xml:space="preserve"> аукциона.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 w14:paraId="260C6D06">
      <w:pPr>
        <w:pBdr/>
        <w:spacing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Внесенный Претендентом, признанным победителем аукциона или единственным участник</w:t>
      </w:r>
      <w:r>
        <w:rPr>
          <w:rFonts w:cs="Times New Roman"/>
          <w:sz w:val="24"/>
          <w:szCs w:val="24"/>
        </w:rPr>
        <w:t xml:space="preserve">ом аукциона, Задаток, учитывается в счет оплаты цены продажи Лота по договору купли-продажи.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 w14:paraId="5E11F702">
      <w:pPr>
        <w:pBdr/>
        <w:spacing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 w14:paraId="4F3A55DA" w14:textId="77777777">
      <w:pPr>
        <w:pBdr/>
        <w:spacing/>
        <w:ind w:firstLine="567"/>
        <w:jc w:val="both"/>
        <w:rPr/>
      </w:pPr>
      <w:r>
        <w:t xml:space="preserve">11.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0BFC6344" w14:textId="77777777">
      <w:pPr>
        <w:pBdr/>
        <w:spacing/>
        <w:ind w:firstLine="567"/>
        <w:jc w:val="both"/>
        <w:rPr>
          <w:sz w:val="24"/>
          <w:szCs w:val="24"/>
        </w:rPr>
      </w:pPr>
      <w:r>
        <w:t xml:space="preserve"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Претендент подтверждает, что ознакомился с Лотом и документацией к нему, ему известна вся информация о Лоте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Претензий по качеству, состоянию Лота и документации к нему не имеет.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C78DDB9" w14:textId="77777777">
      <w:pPr>
        <w:pBdr/>
        <w:spacing/>
        <w:ind/>
        <w:jc w:val="both"/>
        <w:rPr/>
      </w:pPr>
      <w:r/>
      <w:r/>
    </w:p>
    <w:p w14:paraId="73DF00FC" w14:textId="77777777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 w14:paraId="4D35AA46" w14:textId="77777777"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Ind w:w="-10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</w:tcPr>
          <w:p w14:paraId="1ED21A78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 электронной площадки:</w:t>
            </w:r>
            <w:r/>
          </w:p>
          <w:p w14:paraId="7D4E3BAA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3D53F34D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58A9A544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 w14:paraId="7F3608CD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56FC9E47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3450E2BC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1E171114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75F6EA61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1C8A7B55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 w14:paraId="07AA3B88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28BA871B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16DDE137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5915BC9E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/>
            <w:tcW w:w="764" w:type="dxa"/>
          </w:tcPr>
          <w:p w14:paraId="31F1D7BC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</w:tcPr>
          <w:p w14:paraId="25EE1513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39AB4235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7A17CFF4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7E91C8A3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9CAFEF0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BA3226B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7C6C258E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5BE9ABC0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2E6EC5A2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31018E28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23B75F9D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</w:t>
      </w:r>
      <w:r>
        <w:rPr>
          <w:b/>
          <w:bCs/>
        </w:rPr>
        <w:t xml:space="preserve"> электронной площадки</w:t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ОТ ПРЕТЕНДЕНТА</w:t>
      </w:r>
      <w:r/>
    </w:p>
    <w:p w14:paraId="4CDBBDA9" w14:textId="77777777">
      <w:pPr>
        <w:pBdr/>
        <w:spacing/>
        <w:ind/>
        <w:rPr/>
      </w:pPr>
      <w:r>
        <w:t xml:space="preserve">_____________________/ Е.В. Канцерова/</w:t>
      </w:r>
      <w:r>
        <w:tab/>
        <w:t xml:space="preserve">            _______________________/_________</w:t>
      </w:r>
      <w:r/>
    </w:p>
    <w:p w14:paraId="2507DC01" w14:textId="77777777">
      <w:pPr>
        <w:pBdr/>
        <w:spacing/>
        <w:ind/>
        <w:rPr/>
      </w:pPr>
      <w:r/>
      <w:r/>
    </w:p>
    <w:p w14:paraId="398FE383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567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BE73C9C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5FD039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Serif">
    <w:panose1 w:val="02020603050405020304"/>
  </w:font>
  <w:font w:name="ヒラギノ角ゴ Pro W3">
    <w:panose1 w:val="05040102010807070707"/>
  </w:font>
  <w:font w:name="Mangal">
    <w:panose1 w:val="02040503050406030204"/>
  </w:font>
  <w:font w:name="Segoe UI">
    <w:panose1 w:val="020B0502040204020203"/>
  </w:font>
  <w:font w:name="Times New Roman">
    <w:panose1 w:val="020206030504050203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69EE0D0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62AAA4" w14:textId="77777777">
      <w:pPr>
        <w:pBdr/>
        <w:spacing/>
        <w:ind/>
        <w:rPr/>
      </w:pPr>
      <w:r>
        <w:continuationSeparator/>
      </w:r>
      <w:r/>
    </w:p>
  </w:footnote>
  <w:footnote w:id="2">
    <w:p w14:paraId="5A9D7491" w14:textId="77777777">
      <w:pPr>
        <w:pStyle w:val="973"/>
        <w:pBdr/>
        <w:spacing/>
        <w:ind/>
        <w:rPr/>
      </w:pPr>
      <w:r>
        <w:rPr>
          <w:rStyle w:val="944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2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3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4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5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6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Header Char"/>
    <w:basedOn w:val="739"/>
    <w:link w:val="894"/>
    <w:uiPriority w:val="99"/>
    <w:pPr>
      <w:pBdr/>
      <w:spacing/>
      <w:ind/>
    </w:pPr>
  </w:style>
  <w:style w:type="character" w:styleId="725">
    <w:name w:val="Footer Char"/>
    <w:basedOn w:val="739"/>
    <w:link w:val="896"/>
    <w:uiPriority w:val="99"/>
    <w:pPr>
      <w:pBdr/>
      <w:spacing/>
      <w:ind/>
    </w:pPr>
  </w:style>
  <w:style w:type="character" w:styleId="726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727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728">
    <w:name w:val="Placeholder Text"/>
    <w:basedOn w:val="739"/>
    <w:uiPriority w:val="99"/>
    <w:semiHidden/>
    <w:pPr>
      <w:pBdr/>
      <w:spacing/>
      <w:ind/>
    </w:pPr>
    <w:rPr>
      <w:color w:val="666666"/>
    </w:rPr>
  </w:style>
  <w:style w:type="paragraph" w:styleId="729" w:default="1">
    <w:name w:val="Normal"/>
    <w:pPr>
      <w:pBdr/>
      <w:spacing/>
      <w:ind/>
    </w:pPr>
    <w:rPr>
      <w:color w:val="000000"/>
      <w:sz w:val="24"/>
      <w:szCs w:val="24"/>
      <w:lang w:eastAsia="zh-CN"/>
    </w:rPr>
  </w:style>
  <w:style w:type="paragraph" w:styleId="730">
    <w:name w:val="Heading 1"/>
    <w:basedOn w:val="729"/>
    <w:next w:val="729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9" w:customStyle="1">
    <w:name w:val="Заголовок 2 Знак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0" w:customStyle="1">
    <w:name w:val="Заголовок 3 Знак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1" w:customStyle="1">
    <w:name w:val="Заголовок 4 Знак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2" w:customStyle="1">
    <w:name w:val="Заголовок 5 Знак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3" w:customStyle="1">
    <w:name w:val="Заголовок 6 Знак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 w:customStyle="1">
    <w:name w:val="Заголовок 7 Знак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 w:customStyle="1">
    <w:name w:val="Заголовок 8 Знак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Заголовок 9 Знак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729"/>
    <w:next w:val="953"/>
    <w:link w:val="878"/>
    <w:pPr>
      <w:pBdr/>
      <w:spacing/>
      <w:ind/>
      <w:jc w:val="center"/>
    </w:pPr>
    <w:rPr>
      <w:b/>
      <w:bCs/>
      <w:sz w:val="28"/>
      <w:szCs w:val="28"/>
    </w:rPr>
  </w:style>
  <w:style w:type="character" w:styleId="878" w:customStyle="1">
    <w:name w:val="Заголовок Знак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 w:customStyle="1">
    <w:name w:val="Подзаголовок Знак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 w:customStyle="1">
    <w:name w:val="Цитата 2 Знак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884">
    <w:name w:val="Intense Emphasis"/>
    <w:basedOn w:val="73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6" w:customStyle="1">
    <w:name w:val="Выделенная цитата Знак"/>
    <w:basedOn w:val="739"/>
    <w:link w:val="88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7">
    <w:name w:val="Intense Reference"/>
    <w:basedOn w:val="73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basedOn w:val="7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739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739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7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7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895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5" w:customStyle="1">
    <w:name w:val="Верхний колонтитул Знак1"/>
    <w:basedOn w:val="739"/>
    <w:link w:val="894"/>
    <w:uiPriority w:val="99"/>
    <w:pPr>
      <w:pBdr/>
      <w:spacing/>
      <w:ind/>
    </w:pPr>
  </w:style>
  <w:style w:type="paragraph" w:styleId="896">
    <w:name w:val="Footer"/>
    <w:basedOn w:val="729"/>
    <w:link w:val="897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97" w:customStyle="1">
    <w:name w:val="Нижний колонтитул Знак1"/>
    <w:basedOn w:val="739"/>
    <w:link w:val="896"/>
    <w:uiPriority w:val="99"/>
    <w:pPr>
      <w:pBdr/>
      <w:spacing/>
      <w:ind/>
    </w:pPr>
  </w:style>
  <w:style w:type="paragraph" w:styleId="898">
    <w:name w:val="Caption"/>
    <w:basedOn w:val="729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1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pPr>
      <w:pBdr/>
      <w:spacing/>
      <w:ind/>
    </w:pPr>
    <w:rPr>
      <w:vertAlign w:val="superscript"/>
    </w:rPr>
  </w:style>
  <w:style w:type="character" w:styleId="905">
    <w:name w:val="Hyperlink"/>
    <w:basedOn w:val="73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6">
    <w:name w:val="FollowedHyperlink"/>
    <w:basedOn w:val="73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Основной шрифт абзаца3"/>
    <w:pPr>
      <w:pBdr/>
      <w:spacing/>
      <w:ind/>
    </w:pPr>
  </w:style>
  <w:style w:type="character" w:styleId="919" w:customStyle="1">
    <w:name w:val="Основной шрифт абзаца2"/>
    <w:pPr>
      <w:pBdr/>
      <w:spacing/>
      <w:ind/>
    </w:pPr>
  </w:style>
  <w:style w:type="character" w:styleId="920" w:customStyle="1">
    <w:name w:val="WW8Num1z0"/>
    <w:pPr>
      <w:pBdr/>
      <w:spacing/>
      <w:ind/>
    </w:pPr>
  </w:style>
  <w:style w:type="character" w:styleId="921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22" w:customStyle="1">
    <w:name w:val="WW8Num3z0"/>
    <w:pPr>
      <w:pBdr/>
      <w:spacing/>
      <w:ind/>
    </w:pPr>
    <w:rPr>
      <w:b/>
      <w:bCs/>
      <w:i w:val="0"/>
      <w:iCs w:val="0"/>
    </w:rPr>
  </w:style>
  <w:style w:type="character" w:styleId="923" w:customStyle="1">
    <w:name w:val="WW8Num6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4" w:customStyle="1">
    <w:name w:val="WW8Num7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25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26" w:customStyle="1">
    <w:name w:val="Основной шрифт абзаца1"/>
    <w:pPr>
      <w:pBdr/>
      <w:spacing/>
      <w:ind/>
    </w:pPr>
  </w:style>
  <w:style w:type="character" w:styleId="927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28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29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30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1" w:customStyle="1">
    <w:name w:val="Текст примечания Знак"/>
    <w:pPr>
      <w:pBdr/>
      <w:spacing/>
      <w:ind/>
    </w:pPr>
    <w:rPr>
      <w:color w:val="000000"/>
    </w:rPr>
  </w:style>
  <w:style w:type="character" w:styleId="932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33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34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35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36" w:customStyle="1">
    <w:name w:val="Интернет-ссылка"/>
    <w:pPr>
      <w:pBdr/>
      <w:spacing/>
      <w:ind/>
    </w:pPr>
    <w:rPr>
      <w:color w:val="0000ff"/>
      <w:u w:val="single"/>
    </w:rPr>
  </w:style>
  <w:style w:type="character" w:styleId="937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38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39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40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1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42" w:customStyle="1">
    <w:name w:val="Выделение жирным"/>
    <w:pPr>
      <w:pBdr/>
      <w:spacing/>
      <w:ind/>
    </w:pPr>
    <w:rPr>
      <w:b/>
      <w:bCs/>
    </w:rPr>
  </w:style>
  <w:style w:type="character" w:styleId="943" w:customStyle="1">
    <w:name w:val="Текст сноски Знак"/>
    <w:pPr>
      <w:pBdr/>
      <w:spacing/>
      <w:ind/>
    </w:pPr>
    <w:rPr>
      <w:color w:val="000000"/>
    </w:rPr>
  </w:style>
  <w:style w:type="character" w:styleId="944" w:customStyle="1">
    <w:name w:val="Символ сноски"/>
    <w:pPr>
      <w:pBdr/>
      <w:spacing/>
      <w:ind/>
    </w:pPr>
    <w:rPr>
      <w:vertAlign w:val="superscript"/>
    </w:rPr>
  </w:style>
  <w:style w:type="character" w:styleId="945" w:customStyle="1">
    <w:name w:val="Знак сноски1"/>
    <w:pPr>
      <w:pBdr/>
      <w:spacing/>
      <w:ind/>
    </w:pPr>
    <w:rPr>
      <w:vertAlign w:val="superscript"/>
    </w:rPr>
  </w:style>
  <w:style w:type="character" w:styleId="946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47" w:customStyle="1">
    <w:name w:val="WW-Символ концевой сноски"/>
    <w:pPr>
      <w:pBdr/>
      <w:spacing/>
      <w:ind/>
    </w:pPr>
  </w:style>
  <w:style w:type="character" w:styleId="948" w:customStyle="1">
    <w:name w:val="Знак сноски2"/>
    <w:pPr>
      <w:pBdr/>
      <w:spacing/>
      <w:ind/>
    </w:pPr>
    <w:rPr>
      <w:vertAlign w:val="superscript"/>
    </w:rPr>
  </w:style>
  <w:style w:type="character" w:styleId="949" w:customStyle="1">
    <w:name w:val="Знак концевой сноски1"/>
    <w:pPr>
      <w:pBdr/>
      <w:spacing/>
      <w:ind/>
    </w:pPr>
    <w:rPr>
      <w:vertAlign w:val="superscript"/>
    </w:rPr>
  </w:style>
  <w:style w:type="character" w:styleId="950" w:customStyle="1">
    <w:name w:val="Нумерация строк"/>
    <w:pPr>
      <w:pBdr/>
      <w:spacing/>
      <w:ind/>
    </w:pPr>
  </w:style>
  <w:style w:type="character" w:styleId="951" w:customStyle="1">
    <w:name w:val="Привязка сноски"/>
    <w:pPr>
      <w:pBdr/>
      <w:spacing/>
      <w:ind/>
    </w:pPr>
    <w:rPr>
      <w:vertAlign w:val="superscript"/>
    </w:rPr>
  </w:style>
  <w:style w:type="character" w:styleId="952" w:customStyle="1">
    <w:name w:val="Привязка концевой сноски"/>
    <w:pPr>
      <w:pBdr/>
      <w:spacing/>
      <w:ind/>
    </w:pPr>
    <w:rPr>
      <w:vertAlign w:val="superscript"/>
    </w:rPr>
  </w:style>
  <w:style w:type="paragraph" w:styleId="953">
    <w:name w:val="Body Text"/>
    <w:basedOn w:val="729"/>
    <w:pPr>
      <w:pBdr/>
      <w:spacing w:after="140" w:line="276" w:lineRule="auto"/>
      <w:ind/>
    </w:pPr>
  </w:style>
  <w:style w:type="paragraph" w:styleId="954">
    <w:name w:val="List"/>
    <w:basedOn w:val="953"/>
    <w:pPr>
      <w:pBdr/>
      <w:spacing/>
      <w:ind/>
    </w:pPr>
    <w:rPr>
      <w:rFonts w:cs="Mangal"/>
    </w:rPr>
  </w:style>
  <w:style w:type="paragraph" w:styleId="955" w:customStyle="1">
    <w:name w:val="Название"/>
    <w:basedOn w:val="729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6">
    <w:name w:val="index heading"/>
    <w:basedOn w:val="729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57" w:customStyle="1">
    <w:name w:val="Указатель3"/>
    <w:basedOn w:val="729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58" w:customStyle="1">
    <w:name w:val="Название объекта2"/>
    <w:basedOn w:val="729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59" w:customStyle="1">
    <w:name w:val="Указатель2"/>
    <w:basedOn w:val="729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60" w:customStyle="1">
    <w:name w:val="Название объекта1"/>
    <w:basedOn w:val="729"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961" w:customStyle="1">
    <w:name w:val="Указатель1"/>
    <w:basedOn w:val="729"/>
    <w:pPr>
      <w:suppressLineNumbers w:val="true"/>
      <w:pBdr/>
      <w:spacing/>
      <w:ind/>
    </w:pPr>
    <w:rPr>
      <w:rFonts w:cs="Mangal"/>
      <w:lang w:val="en-US" w:bidi="en-US"/>
    </w:rPr>
  </w:style>
  <w:style w:type="paragraph" w:styleId="962" w:customStyle="1">
    <w:name w:val="Основной текст 21"/>
    <w:basedOn w:val="729"/>
    <w:pPr>
      <w:pBdr/>
      <w:spacing w:after="120" w:line="480" w:lineRule="auto"/>
      <w:ind/>
    </w:pPr>
  </w:style>
  <w:style w:type="paragraph" w:styleId="963" w:customStyle="1">
    <w:name w:val="Основной текст с отступом 31"/>
    <w:basedOn w:val="729"/>
    <w:pPr>
      <w:pBdr/>
      <w:spacing w:after="120"/>
      <w:ind w:left="283"/>
    </w:pPr>
    <w:rPr>
      <w:sz w:val="16"/>
      <w:szCs w:val="16"/>
    </w:rPr>
  </w:style>
  <w:style w:type="paragraph" w:styleId="964">
    <w:name w:val="Body Text 2"/>
    <w:basedOn w:val="729"/>
    <w:pPr>
      <w:pBdr/>
      <w:spacing/>
      <w:ind w:firstLine="567"/>
      <w:jc w:val="both"/>
    </w:pPr>
    <w:rPr>
      <w:sz w:val="22"/>
      <w:szCs w:val="20"/>
    </w:rPr>
  </w:style>
  <w:style w:type="paragraph" w:styleId="965" w:customStyle="1">
    <w:name w:val="Текст примечания1"/>
    <w:basedOn w:val="729"/>
    <w:pPr>
      <w:pBdr/>
      <w:spacing/>
      <w:ind/>
    </w:pPr>
    <w:rPr>
      <w:sz w:val="20"/>
      <w:szCs w:val="20"/>
    </w:rPr>
  </w:style>
  <w:style w:type="paragraph" w:styleId="966">
    <w:name w:val="annotation subject"/>
    <w:basedOn w:val="965"/>
    <w:next w:val="965"/>
    <w:pPr>
      <w:pBdr/>
      <w:spacing/>
      <w:ind/>
    </w:pPr>
    <w:rPr>
      <w:b/>
      <w:bCs/>
    </w:rPr>
  </w:style>
  <w:style w:type="paragraph" w:styleId="967">
    <w:name w:val="Balloon Text"/>
    <w:basedOn w:val="72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8" w:customStyle="1">
    <w:name w:val="Основной текст 31"/>
    <w:basedOn w:val="729"/>
    <w:pPr>
      <w:pBdr/>
      <w:spacing w:after="120"/>
      <w:ind/>
    </w:pPr>
    <w:rPr>
      <w:sz w:val="16"/>
      <w:szCs w:val="16"/>
    </w:rPr>
  </w:style>
  <w:style w:type="paragraph" w:styleId="969">
    <w:name w:val="Body Text Indent"/>
    <w:basedOn w:val="729"/>
    <w:pPr>
      <w:pBdr/>
      <w:spacing/>
      <w:ind w:right="-57" w:firstLine="720"/>
      <w:jc w:val="both"/>
    </w:pPr>
  </w:style>
  <w:style w:type="paragraph" w:styleId="970" w:customStyle="1">
    <w:name w:val="Основной текст2"/>
    <w:basedOn w:val="729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71" w:customStyle="1">
    <w:name w:val="Цветная заливка - Акцент 11"/>
    <w:pPr>
      <w:pBdr/>
      <w:spacing/>
      <w:ind/>
    </w:pPr>
    <w:rPr>
      <w:rFonts w:ascii="NTTimes/Cyrillic" w:hAnsi="NTTimes/Cyrillic" w:cs="NTTimes/Cyrillic"/>
      <w:sz w:val="24"/>
      <w:szCs w:val="24"/>
      <w:lang w:val="en-US" w:eastAsia="zh-CN"/>
    </w:rPr>
  </w:style>
  <w:style w:type="paragraph" w:styleId="972" w:customStyle="1">
    <w:name w:val="Колонтитул"/>
    <w:basedOn w:val="72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3" w:customStyle="1">
    <w:name w:val="Сноска"/>
    <w:basedOn w:val="729"/>
    <w:pPr>
      <w:pBdr/>
      <w:spacing/>
      <w:ind/>
    </w:pPr>
    <w:rPr>
      <w:sz w:val="20"/>
      <w:szCs w:val="20"/>
    </w:rPr>
  </w:style>
  <w:style w:type="paragraph" w:styleId="974" w:customStyle="1">
    <w:name w:val="Содержимое таблицы"/>
    <w:basedOn w:val="729"/>
    <w:pPr>
      <w:widowControl w:val="false"/>
      <w:suppressLineNumbers w:val="true"/>
      <w:pBdr/>
      <w:spacing/>
      <w:ind/>
    </w:pPr>
  </w:style>
  <w:style w:type="paragraph" w:styleId="975" w:customStyle="1">
    <w:name w:val="Заголовок таблицы"/>
    <w:basedOn w:val="974"/>
    <w:pPr>
      <w:pBdr/>
      <w:spacing/>
      <w:ind/>
      <w:jc w:val="center"/>
    </w:pPr>
    <w:rPr>
      <w:b/>
      <w:bCs/>
    </w:rPr>
  </w:style>
  <w:style w:type="paragraph" w:styleId="976" w:customStyle="1">
    <w:name w:val="Свободная форма B"/>
    <w:pPr>
      <w:pBdr/>
      <w:spacing/>
      <w:ind/>
    </w:pPr>
    <w:rPr>
      <w:rFonts w:eastAsia="ヒラギノ角ゴ Pro W3"/>
      <w:color w:val="000000"/>
    </w:rPr>
  </w:style>
  <w:style w:type="paragraph" w:styleId="977">
    <w:name w:val="Revision"/>
    <w:hidden/>
    <w:uiPriority w:val="99"/>
    <w:semiHidden/>
    <w:pPr>
      <w:pBdr/>
      <w:spacing/>
      <w:ind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11</cp:revision>
  <dcterms:created xsi:type="dcterms:W3CDTF">2025-04-10T05:13:00Z</dcterms:created>
  <dcterms:modified xsi:type="dcterms:W3CDTF">2026-05-15T13:52:29Z</dcterms:modified>
</cp:coreProperties>
</file>