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Pr="00204712" w:rsidRDefault="00E4102A">
      <w:pPr>
        <w:jc w:val="center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Pr="00204712" w:rsidRDefault="00E4102A">
      <w:pPr>
        <w:jc w:val="center"/>
        <w:rPr>
          <w:rFonts w:ascii="Times New Roman" w:hAnsi="Times New Roman"/>
          <w:b/>
          <w:i/>
        </w:rPr>
      </w:pPr>
      <w:r w:rsidRPr="0020471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20471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61897627" w:rsidR="00F96535" w:rsidRPr="00204712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 xml:space="preserve">принимая решение об </w:t>
      </w:r>
      <w:r w:rsidR="00341C3D">
        <w:rPr>
          <w:rFonts w:ascii="Times New Roman" w:hAnsi="Times New Roman"/>
          <w:b/>
        </w:rPr>
        <w:t>участии в аукционе «</w:t>
      </w:r>
      <w:r w:rsidR="00F65991">
        <w:rPr>
          <w:rFonts w:ascii="Times New Roman" w:hAnsi="Times New Roman"/>
          <w:b/>
        </w:rPr>
        <w:t>26</w:t>
      </w:r>
      <w:r w:rsidRPr="00204712">
        <w:rPr>
          <w:rFonts w:ascii="Times New Roman" w:hAnsi="Times New Roman"/>
          <w:b/>
        </w:rPr>
        <w:t xml:space="preserve">» </w:t>
      </w:r>
      <w:r w:rsidR="00F65991">
        <w:rPr>
          <w:rFonts w:ascii="Times New Roman" w:hAnsi="Times New Roman"/>
          <w:b/>
        </w:rPr>
        <w:t>августа</w:t>
      </w:r>
      <w:r w:rsidRPr="00204712">
        <w:rPr>
          <w:rFonts w:ascii="Times New Roman" w:hAnsi="Times New Roman"/>
          <w:b/>
        </w:rPr>
        <w:t xml:space="preserve"> 2026 года по продаже:                       </w:t>
      </w:r>
    </w:p>
    <w:p w14:paraId="568CE71E" w14:textId="1096BE5A" w:rsidR="00F65991" w:rsidRPr="00824EAF" w:rsidRDefault="00F65991" w:rsidP="00F659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1. </w:t>
      </w:r>
      <w:r w:rsidRPr="00F65991">
        <w:rPr>
          <w:rFonts w:ascii="Times New Roman" w:eastAsia="SimSun" w:hAnsi="Times New Roman"/>
          <w:b/>
        </w:rPr>
        <w:t>Здание</w:t>
      </w:r>
      <w:r w:rsidRPr="00824EAF">
        <w:rPr>
          <w:rFonts w:ascii="Times New Roman" w:eastAsia="SimSun" w:hAnsi="Times New Roman"/>
        </w:rPr>
        <w:t xml:space="preserve">, площадью 502 кв.м., назначение: нежилое, этажность: </w:t>
      </w:r>
      <w:r w:rsidRPr="00824EAF">
        <w:rPr>
          <w:rFonts w:ascii="Times New Roman" w:hAnsi="Times New Roman"/>
        </w:rPr>
        <w:t>5, в том числе подземных 0</w:t>
      </w:r>
      <w:r w:rsidRPr="00824EAF">
        <w:rPr>
          <w:rFonts w:ascii="Times New Roman" w:eastAsia="SimSun" w:hAnsi="Times New Roman"/>
        </w:rPr>
        <w:t xml:space="preserve">, кадастровый номер: </w:t>
      </w:r>
      <w:r w:rsidRPr="00824EAF">
        <w:rPr>
          <w:rFonts w:ascii="Times New Roman" w:hAnsi="Times New Roman"/>
        </w:rPr>
        <w:t>60:27:0010323:188</w:t>
      </w:r>
      <w:r w:rsidRPr="00824EAF">
        <w:rPr>
          <w:rFonts w:ascii="Times New Roman" w:eastAsia="SimSun" w:hAnsi="Times New Roman"/>
        </w:rPr>
        <w:t xml:space="preserve">, расположенное по адресу: </w:t>
      </w:r>
      <w:r w:rsidRPr="00824EAF">
        <w:rPr>
          <w:rFonts w:ascii="Times New Roman" w:hAnsi="Times New Roman"/>
        </w:rPr>
        <w:t xml:space="preserve">Российская Федерация, Псковская область, </w:t>
      </w:r>
      <w:proofErr w:type="spellStart"/>
      <w:r w:rsidRPr="00824EAF">
        <w:rPr>
          <w:rFonts w:ascii="Times New Roman" w:hAnsi="Times New Roman"/>
        </w:rPr>
        <w:t>г.о</w:t>
      </w:r>
      <w:proofErr w:type="spellEnd"/>
      <w:r w:rsidRPr="00824EAF">
        <w:rPr>
          <w:rFonts w:ascii="Times New Roman" w:hAnsi="Times New Roman"/>
        </w:rPr>
        <w:t>. город Псков, г Псков, наб. Реки Великой, д. 12</w:t>
      </w:r>
      <w:r w:rsidRPr="00824EAF">
        <w:rPr>
          <w:rFonts w:ascii="Times New Roman" w:eastAsia="SimSun" w:hAnsi="Times New Roman"/>
          <w:lang w:eastAsia="hi-IN"/>
        </w:rPr>
        <w:t xml:space="preserve"> (далее – Объект 1).</w:t>
      </w:r>
    </w:p>
    <w:p w14:paraId="768B3B58" w14:textId="77777777" w:rsidR="00F65991" w:rsidRPr="00824EAF" w:rsidRDefault="00F65991" w:rsidP="00F65991">
      <w:pPr>
        <w:ind w:firstLine="709"/>
        <w:jc w:val="both"/>
        <w:rPr>
          <w:rFonts w:ascii="Times New Roman" w:eastAsia="SimSun" w:hAnsi="Times New Roman"/>
          <w:lang w:eastAsia="hi-IN"/>
        </w:rPr>
      </w:pPr>
      <w:r w:rsidRPr="00824EAF">
        <w:rPr>
          <w:rFonts w:ascii="Times New Roman" w:eastAsia="SimSun" w:hAnsi="Times New Roman"/>
          <w:lang w:eastAsia="hi-IN"/>
        </w:rPr>
        <w:t xml:space="preserve">Обременения (ограничения) в соответствии с выпиской из ЕГРН </w:t>
      </w:r>
      <w:r w:rsidRPr="00824EAF">
        <w:rPr>
          <w:rFonts w:ascii="Times New Roman" w:hAnsi="Times New Roman"/>
        </w:rPr>
        <w:t xml:space="preserve">15.06.2026г. </w:t>
      </w:r>
      <w:proofErr w:type="spellStart"/>
      <w:r w:rsidRPr="00824EAF">
        <w:rPr>
          <w:rFonts w:ascii="Times New Roman" w:hAnsi="Times New Roman"/>
        </w:rPr>
        <w:t>No</w:t>
      </w:r>
      <w:proofErr w:type="spellEnd"/>
      <w:r w:rsidRPr="00824EAF">
        <w:rPr>
          <w:rFonts w:ascii="Times New Roman" w:hAnsi="Times New Roman"/>
        </w:rPr>
        <w:t xml:space="preserve"> КУВИ-001/2026-80553338</w:t>
      </w:r>
      <w:r w:rsidRPr="00824EAF">
        <w:rPr>
          <w:rFonts w:ascii="Times New Roman" w:eastAsia="SimSun" w:hAnsi="Times New Roman"/>
          <w:lang w:eastAsia="hi-IN"/>
        </w:rPr>
        <w:t xml:space="preserve">: </w:t>
      </w:r>
    </w:p>
    <w:p w14:paraId="567089D1" w14:textId="77777777" w:rsidR="00F65991" w:rsidRPr="00824EAF" w:rsidRDefault="00F65991" w:rsidP="00F65991">
      <w:pPr>
        <w:ind w:firstLine="709"/>
        <w:jc w:val="both"/>
        <w:rPr>
          <w:rFonts w:ascii="Times New Roman" w:hAnsi="Times New Roman"/>
        </w:rPr>
      </w:pPr>
      <w:r w:rsidRPr="00824EAF">
        <w:rPr>
          <w:rFonts w:ascii="Times New Roman" w:hAnsi="Times New Roman"/>
        </w:rPr>
        <w:t>- Аренда в пользу ООО «</w:t>
      </w:r>
      <w:proofErr w:type="spellStart"/>
      <w:r w:rsidRPr="00824EAF">
        <w:rPr>
          <w:rFonts w:ascii="Times New Roman" w:hAnsi="Times New Roman"/>
        </w:rPr>
        <w:t>Эликон</w:t>
      </w:r>
      <w:proofErr w:type="spellEnd"/>
      <w:r w:rsidRPr="00824EAF">
        <w:rPr>
          <w:rFonts w:ascii="Times New Roman" w:hAnsi="Times New Roman"/>
        </w:rPr>
        <w:t xml:space="preserve"> недвижимость», ИНН: 6027097110, срок действия с 04.05.2022 по 03.05.2032 дата государственной регистрации: 25.05.2022, номер государственной регистрации: 60:27:0010323:188-60/037/2022-1.</w:t>
      </w:r>
    </w:p>
    <w:p w14:paraId="3663F1AA" w14:textId="77777777" w:rsidR="00F65991" w:rsidRPr="00824EAF" w:rsidRDefault="00F65991" w:rsidP="00F65991">
      <w:pPr>
        <w:ind w:firstLine="709"/>
        <w:jc w:val="both"/>
        <w:rPr>
          <w:rFonts w:ascii="Times New Roman" w:hAnsi="Times New Roman"/>
        </w:rPr>
      </w:pPr>
      <w:r w:rsidRPr="00824EAF">
        <w:rPr>
          <w:rFonts w:ascii="Times New Roman" w:hAnsi="Times New Roman"/>
        </w:rPr>
        <w:t xml:space="preserve">2. </w:t>
      </w:r>
      <w:r w:rsidRPr="00F65991">
        <w:rPr>
          <w:rFonts w:ascii="Times New Roman" w:hAnsi="Times New Roman"/>
          <w:b/>
        </w:rPr>
        <w:t>Земельный участок</w:t>
      </w:r>
      <w:r w:rsidRPr="00824EAF">
        <w:rPr>
          <w:rFonts w:ascii="Times New Roman" w:hAnsi="Times New Roman"/>
        </w:rPr>
        <w:t xml:space="preserve">, площадью 401 +/- 7 кв.м, категория земель: Земли населенных пунктов, Виды разрешенного использования: Деловое управление (код 4.1), Кадастровый номер: 60:27:0010323:183, адрес: Российская Федерация, Псковская область, </w:t>
      </w:r>
      <w:proofErr w:type="spellStart"/>
      <w:r w:rsidRPr="00824EAF">
        <w:rPr>
          <w:rFonts w:ascii="Times New Roman" w:hAnsi="Times New Roman"/>
        </w:rPr>
        <w:t>г.о</w:t>
      </w:r>
      <w:proofErr w:type="spellEnd"/>
      <w:r w:rsidRPr="00824EAF">
        <w:rPr>
          <w:rFonts w:ascii="Times New Roman" w:hAnsi="Times New Roman"/>
        </w:rPr>
        <w:t>. город Псков, г Псков, наб. Реки Великой, з/у 12 (далее – Объект 2).</w:t>
      </w:r>
    </w:p>
    <w:p w14:paraId="333ADF53" w14:textId="77777777" w:rsidR="00F65991" w:rsidRPr="00824EAF" w:rsidRDefault="00F65991" w:rsidP="00F65991">
      <w:pPr>
        <w:ind w:firstLine="709"/>
        <w:jc w:val="both"/>
        <w:rPr>
          <w:rFonts w:ascii="Times New Roman" w:hAnsi="Times New Roman"/>
        </w:rPr>
      </w:pPr>
      <w:r w:rsidRPr="00824EAF">
        <w:rPr>
          <w:rFonts w:ascii="Times New Roman" w:eastAsia="SimSun" w:hAnsi="Times New Roman"/>
          <w:lang w:eastAsia="hi-IN"/>
        </w:rPr>
        <w:t xml:space="preserve">Обременения (ограничения) в соответствии с выпиской из ЕГРН </w:t>
      </w:r>
      <w:r w:rsidRPr="00824EAF">
        <w:rPr>
          <w:rFonts w:ascii="Times New Roman" w:hAnsi="Times New Roman"/>
        </w:rPr>
        <w:t>17.04.2026г. № КУВИ-001/2026-52575443:</w:t>
      </w:r>
    </w:p>
    <w:p w14:paraId="74964173" w14:textId="77777777" w:rsidR="00F65991" w:rsidRPr="00824EAF" w:rsidRDefault="00F65991" w:rsidP="00F65991">
      <w:pPr>
        <w:ind w:firstLine="709"/>
        <w:jc w:val="both"/>
        <w:rPr>
          <w:rFonts w:ascii="Times New Roman" w:hAnsi="Times New Roman"/>
        </w:rPr>
      </w:pPr>
      <w:r w:rsidRPr="00824EAF">
        <w:rPr>
          <w:rFonts w:ascii="Times New Roman" w:hAnsi="Times New Roman"/>
        </w:rPr>
        <w:t xml:space="preserve"> - Для данного земельного участка обеспечен доступ посредством земельного участка (земельных участков) с кадастровым номером (кадастровыми номерами): 60:27:0010323:50.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19.05.2016; реквизиты документа-основания: приказ от 20.08.2014 </w:t>
      </w:r>
      <w:proofErr w:type="spellStart"/>
      <w:r w:rsidRPr="00824EAF">
        <w:rPr>
          <w:rFonts w:ascii="Times New Roman" w:hAnsi="Times New Roman"/>
        </w:rPr>
        <w:t>No</w:t>
      </w:r>
      <w:proofErr w:type="spellEnd"/>
      <w:r w:rsidRPr="00824EAF">
        <w:rPr>
          <w:rFonts w:ascii="Times New Roman" w:hAnsi="Times New Roman"/>
        </w:rPr>
        <w:t xml:space="preserve"> 689 выдан: Государственный комитет Псковской области по природопользованию и охране окружающей среды.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17.04.2023; реквизиты документа-основания: приказ о внесении изменений в приказ Государственного комитета Псковской области по охране объектов культурного наследия от 21.01.2015 </w:t>
      </w:r>
      <w:proofErr w:type="spellStart"/>
      <w:r w:rsidRPr="00824EAF">
        <w:rPr>
          <w:rFonts w:ascii="Times New Roman" w:hAnsi="Times New Roman"/>
        </w:rPr>
        <w:t>No</w:t>
      </w:r>
      <w:proofErr w:type="spellEnd"/>
      <w:r w:rsidRPr="00824EAF">
        <w:rPr>
          <w:rFonts w:ascii="Times New Roman" w:hAnsi="Times New Roman"/>
        </w:rPr>
        <w:t xml:space="preserve"> 37 "Об утверждении границы территории объекта культурного наследия федерального значения" от 24.11.2022 </w:t>
      </w:r>
      <w:proofErr w:type="spellStart"/>
      <w:r w:rsidRPr="00824EAF">
        <w:rPr>
          <w:rFonts w:ascii="Times New Roman" w:hAnsi="Times New Roman"/>
        </w:rPr>
        <w:t>No</w:t>
      </w:r>
      <w:proofErr w:type="spellEnd"/>
      <w:r w:rsidRPr="00824EAF">
        <w:rPr>
          <w:rFonts w:ascii="Times New Roman" w:hAnsi="Times New Roman"/>
        </w:rPr>
        <w:t xml:space="preserve"> 919 выдан: Комитет по охране объектов культурного наследия Псковской области; приказ "Об утверждении границы территории объекта культурного наследия федерального значения" от 21.01.2015 </w:t>
      </w:r>
      <w:proofErr w:type="spellStart"/>
      <w:r w:rsidRPr="00824EAF">
        <w:rPr>
          <w:rFonts w:ascii="Times New Roman" w:hAnsi="Times New Roman"/>
        </w:rPr>
        <w:t>No</w:t>
      </w:r>
      <w:proofErr w:type="spellEnd"/>
      <w:r w:rsidRPr="00824EAF">
        <w:rPr>
          <w:rFonts w:ascii="Times New Roman" w:hAnsi="Times New Roman"/>
        </w:rPr>
        <w:t xml:space="preserve"> 37 выдан: Государственный комитет Псковской области по охране объектов культурного наследия.</w:t>
      </w:r>
    </w:p>
    <w:p w14:paraId="4F343178" w14:textId="4359D1DD" w:rsidR="00204712" w:rsidRDefault="00F65991" w:rsidP="00F65991">
      <w:pPr>
        <w:ind w:right="-57" w:firstLine="540"/>
        <w:jc w:val="both"/>
        <w:rPr>
          <w:rFonts w:ascii="Times New Roman" w:hAnsi="Times New Roman"/>
        </w:rPr>
      </w:pPr>
      <w:r w:rsidRPr="00824EAF">
        <w:rPr>
          <w:rFonts w:ascii="Times New Roman" w:hAnsi="Times New Roman"/>
        </w:rPr>
        <w:lastRenderedPageBreak/>
        <w:t>- Объект культурного наследия, дата государственной регистрации: 11.08.2021, номер государственной регистрации: 60:27:0010323:183-60/037/2021-5</w:t>
      </w:r>
    </w:p>
    <w:p w14:paraId="2B63E0C7" w14:textId="77777777" w:rsidR="00F65991" w:rsidRDefault="00F65991" w:rsidP="00F65991">
      <w:pPr>
        <w:ind w:right="-57" w:firstLine="540"/>
        <w:jc w:val="both"/>
        <w:rPr>
          <w:rFonts w:ascii="Times New Roman" w:hAnsi="Times New Roman"/>
          <w:b/>
        </w:rPr>
      </w:pPr>
    </w:p>
    <w:p w14:paraId="5C63C202" w14:textId="105FE148" w:rsidR="00F96535" w:rsidRPr="00204712" w:rsidRDefault="00E4102A" w:rsidP="00204712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204712">
        <w:rPr>
          <w:rFonts w:ascii="Times New Roman" w:hAnsi="Times New Roman"/>
          <w:b/>
        </w:rPr>
        <w:t>Обязуюсь:</w:t>
      </w:r>
    </w:p>
    <w:p w14:paraId="7A16BBD6" w14:textId="77777777" w:rsidR="00F96535" w:rsidRPr="00204712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Pr="00204712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204712">
        <w:rPr>
          <w:rFonts w:ascii="Times New Roman" w:hAnsi="Times New Roman"/>
          <w:b/>
        </w:rPr>
        <w:t xml:space="preserve">1. </w:t>
      </w:r>
      <w:r w:rsidRPr="00204712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204712"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 w:rsidRPr="00204712"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 w:rsidRPr="00204712"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 w:rsidRPr="00204712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Pr="00204712" w:rsidRDefault="00E4102A">
      <w:pPr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DAA7BED" w:rsidR="00F96535" w:rsidRPr="00204712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</w:rPr>
        <w:t xml:space="preserve">2.1. Заключить </w:t>
      </w:r>
      <w:r w:rsidRPr="00204712">
        <w:rPr>
          <w:rFonts w:ascii="Times New Roman" w:hAnsi="Times New Roman"/>
          <w:bCs/>
        </w:rPr>
        <w:t>Договор купли-прода</w:t>
      </w:r>
      <w:r w:rsidR="007C2553" w:rsidRPr="00204712">
        <w:rPr>
          <w:rFonts w:ascii="Times New Roman" w:hAnsi="Times New Roman"/>
          <w:bCs/>
        </w:rPr>
        <w:t xml:space="preserve">жи </w:t>
      </w:r>
      <w:r w:rsidR="00204712">
        <w:rPr>
          <w:rFonts w:ascii="Times New Roman" w:hAnsi="Times New Roman"/>
          <w:bCs/>
        </w:rPr>
        <w:t>с Продавцом в течение 10</w:t>
      </w:r>
      <w:r w:rsidRPr="00204712">
        <w:rPr>
          <w:rFonts w:ascii="Times New Roman" w:hAnsi="Times New Roman"/>
          <w:bCs/>
        </w:rPr>
        <w:t xml:space="preserve"> (</w:t>
      </w:r>
      <w:r w:rsidR="00204712">
        <w:rPr>
          <w:rFonts w:ascii="Times New Roman" w:hAnsi="Times New Roman"/>
          <w:bCs/>
        </w:rPr>
        <w:t>десяти</w:t>
      </w:r>
      <w:r w:rsidRPr="00204712">
        <w:rPr>
          <w:rFonts w:ascii="Times New Roman" w:hAnsi="Times New Roman"/>
          <w:bCs/>
        </w:rPr>
        <w:t xml:space="preserve">) </w:t>
      </w:r>
      <w:r w:rsidR="007C2553" w:rsidRPr="00204712">
        <w:rPr>
          <w:rFonts w:ascii="Times New Roman" w:hAnsi="Times New Roman"/>
          <w:bCs/>
        </w:rPr>
        <w:t>рабочих</w:t>
      </w:r>
      <w:r w:rsidRPr="00204712">
        <w:rPr>
          <w:rFonts w:ascii="Times New Roman" w:hAnsi="Times New Roman"/>
          <w:bCs/>
        </w:rPr>
        <w:t xml:space="preserve"> дней после подведения итогов аукциона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 w:rsidRPr="00204712">
          <w:rPr>
            <w:rFonts w:ascii="Times New Roman" w:hAnsi="Times New Roman"/>
            <w:bCs/>
          </w:rPr>
          <w:t>www.lot-online.ru</w:t>
        </w:r>
      </w:hyperlink>
      <w:r w:rsidRPr="00204712">
        <w:rPr>
          <w:rFonts w:ascii="Times New Roman" w:hAnsi="Times New Roman"/>
          <w:bCs/>
        </w:rPr>
        <w:t xml:space="preserve">  в</w:t>
      </w:r>
      <w:proofErr w:type="gramEnd"/>
      <w:r w:rsidRPr="00204712">
        <w:rPr>
          <w:rFonts w:ascii="Times New Roman" w:hAnsi="Times New Roman"/>
          <w:bCs/>
        </w:rPr>
        <w:t xml:space="preserve"> разделе «карточка лота»</w:t>
      </w:r>
      <w:r w:rsidRPr="00204712">
        <w:rPr>
          <w:rFonts w:ascii="Times New Roman" w:hAnsi="Times New Roman"/>
          <w:b/>
        </w:rPr>
        <w:t>.</w:t>
      </w:r>
    </w:p>
    <w:p w14:paraId="6DC6D997" w14:textId="69EDA22A" w:rsidR="00F96535" w:rsidRPr="00204712" w:rsidRDefault="00E4102A">
      <w:pPr>
        <w:ind w:right="-57"/>
        <w:jc w:val="both"/>
        <w:rPr>
          <w:rFonts w:ascii="Times New Roman" w:hAnsi="Times New Roman"/>
          <w:bCs/>
        </w:rPr>
      </w:pPr>
      <w:r w:rsidRPr="00204712">
        <w:rPr>
          <w:rFonts w:ascii="Times New Roman" w:hAnsi="Times New Roman"/>
          <w:bCs/>
        </w:rPr>
        <w:t xml:space="preserve">Оплата цены продажи </w:t>
      </w:r>
      <w:r w:rsidR="00204712">
        <w:rPr>
          <w:rFonts w:ascii="Times New Roman" w:hAnsi="Times New Roman"/>
          <w:bCs/>
        </w:rPr>
        <w:t>Объектов</w:t>
      </w:r>
      <w:r w:rsidRPr="00204712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3.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hAnsi="Times New Roman"/>
          <w:b/>
        </w:rPr>
        <w:t>Мне известно, что</w:t>
      </w:r>
      <w:r w:rsidRPr="00204712">
        <w:rPr>
          <w:rFonts w:ascii="Times New Roman" w:hAnsi="Times New Roman"/>
        </w:rPr>
        <w:t xml:space="preserve">: </w:t>
      </w:r>
    </w:p>
    <w:p w14:paraId="496C3635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5C731D5E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204712">
        <w:rPr>
          <w:rFonts w:ascii="Times New Roman" w:hAnsi="Times New Roman"/>
          <w:b/>
        </w:rPr>
        <w:t xml:space="preserve"> </w:t>
      </w:r>
      <w:r w:rsidRPr="00204712"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Pr="00204712" w:rsidRDefault="00F96535">
      <w:pPr>
        <w:jc w:val="both"/>
        <w:rPr>
          <w:rFonts w:ascii="Times New Roman" w:hAnsi="Times New Roman"/>
          <w:b/>
        </w:rPr>
      </w:pPr>
    </w:p>
    <w:p w14:paraId="4C10B944" w14:textId="473A7F82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</w:rPr>
        <w:t>4.</w:t>
      </w:r>
      <w:r w:rsidRPr="0020471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6482DF3" w14:textId="735D84C3" w:rsidR="00F96535" w:rsidRPr="00204712" w:rsidRDefault="00E4102A">
      <w:pPr>
        <w:ind w:left="-15" w:right="60"/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  <w:b/>
          <w:bCs/>
        </w:rPr>
        <w:t>5</w:t>
      </w:r>
      <w:r w:rsidRPr="00204712"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</w:t>
      </w:r>
      <w:r w:rsidR="00204712">
        <w:rPr>
          <w:rFonts w:ascii="Times New Roman" w:hAnsi="Times New Roman"/>
        </w:rPr>
        <w:t>10</w:t>
      </w:r>
      <w:r w:rsidRPr="00204712">
        <w:rPr>
          <w:rFonts w:ascii="Times New Roman" w:hAnsi="Times New Roman"/>
        </w:rPr>
        <w:t xml:space="preserve"> (</w:t>
      </w:r>
      <w:r w:rsidR="00204712">
        <w:rPr>
          <w:rFonts w:ascii="Times New Roman" w:hAnsi="Times New Roman"/>
        </w:rPr>
        <w:t>десяти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Продавца, указанный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</w:t>
      </w:r>
      <w:r w:rsidRPr="00204712">
        <w:rPr>
          <w:rFonts w:ascii="Times New Roman" w:hAnsi="Times New Roman"/>
          <w:b/>
        </w:rPr>
        <w:t xml:space="preserve"> </w:t>
      </w:r>
    </w:p>
    <w:p w14:paraId="4A17C20E" w14:textId="77777777" w:rsidR="00F96535" w:rsidRPr="00204712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2C570CB1" w:rsidR="00F96535" w:rsidRPr="00204712" w:rsidRDefault="00E4102A">
      <w:pPr>
        <w:ind w:left="-15" w:right="60"/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  <w:bCs/>
        </w:rPr>
        <w:t>6.</w:t>
      </w:r>
      <w:r w:rsidRPr="0020471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 в ходе торгов, в течение 10</w:t>
      </w:r>
      <w:r w:rsidRPr="00204712">
        <w:rPr>
          <w:rFonts w:ascii="Times New Roman" w:hAnsi="Times New Roman"/>
        </w:rPr>
        <w:t xml:space="preserve"> (</w:t>
      </w:r>
      <w:r w:rsidR="00204712">
        <w:rPr>
          <w:rFonts w:ascii="Times New Roman" w:hAnsi="Times New Roman"/>
        </w:rPr>
        <w:t>десяти</w:t>
      </w:r>
      <w:r w:rsidRPr="00204712">
        <w:rPr>
          <w:rFonts w:ascii="Times New Roman" w:hAnsi="Times New Roman"/>
        </w:rPr>
        <w:t xml:space="preserve">) </w:t>
      </w:r>
      <w:r w:rsidR="007C2553" w:rsidRPr="00204712">
        <w:rPr>
          <w:rFonts w:ascii="Times New Roman" w:hAnsi="Times New Roman"/>
        </w:rPr>
        <w:t>рабочих</w:t>
      </w:r>
      <w:r w:rsidRPr="00204712"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купли-продажи. Заключение договора купли-продажи таким участником не является обязательным. При этом оплата цены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204712">
        <w:rPr>
          <w:rFonts w:ascii="Times New Roman" w:hAnsi="Times New Roman"/>
        </w:rPr>
        <w:t>Лота</w:t>
      </w:r>
      <w:r w:rsidRPr="00204712">
        <w:rPr>
          <w:rFonts w:ascii="Times New Roman" w:hAnsi="Times New Roman"/>
        </w:rPr>
        <w:t xml:space="preserve"> в ходе торгов, в полном объеме путем безналичного перечислен</w:t>
      </w:r>
      <w:r w:rsidR="00204712">
        <w:rPr>
          <w:rFonts w:ascii="Times New Roman" w:hAnsi="Times New Roman"/>
        </w:rPr>
        <w:t>ия денежных средств на расчетный счет Продавца</w:t>
      </w:r>
      <w:r w:rsidRPr="00204712">
        <w:rPr>
          <w:rFonts w:ascii="Times New Roman" w:hAnsi="Times New Roman"/>
        </w:rPr>
        <w:t>, указа</w:t>
      </w:r>
      <w:r w:rsidR="00204712">
        <w:rPr>
          <w:rFonts w:ascii="Times New Roman" w:hAnsi="Times New Roman"/>
        </w:rPr>
        <w:t>нный</w:t>
      </w:r>
      <w:r w:rsidRPr="00204712">
        <w:rPr>
          <w:rFonts w:ascii="Times New Roman" w:hAnsi="Times New Roman"/>
        </w:rPr>
        <w:t xml:space="preserve"> в договоре купли-продажи, в соответствии с условиями такого договора купли-продажи. </w:t>
      </w:r>
    </w:p>
    <w:p w14:paraId="1E59FB87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eastAsia="Times New Roman" w:hAnsi="Times New Roman"/>
          <w:b/>
          <w:bCs/>
          <w:lang w:eastAsia="ru-RU"/>
        </w:rPr>
        <w:t>7.</w:t>
      </w:r>
      <w:r w:rsidRPr="0020471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204712">
        <w:rPr>
          <w:rFonts w:ascii="Times New Roman" w:hAnsi="Times New Roman"/>
        </w:rPr>
        <w:t xml:space="preserve">статьей 9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204712">
        <w:rPr>
          <w:rFonts w:ascii="Times New Roman" w:eastAsia="Times New Roman" w:hAnsi="Times New Roman"/>
          <w:bCs/>
          <w:lang w:eastAsia="ru-RU"/>
        </w:rPr>
        <w:t>на обработку</w:t>
      </w:r>
      <w:r w:rsidRPr="0020471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20471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204712">
        <w:rPr>
          <w:rFonts w:ascii="Times New Roman" w:hAnsi="Times New Roman"/>
        </w:rPr>
        <w:t xml:space="preserve"> </w:t>
      </w:r>
      <w:r w:rsidRPr="00204712">
        <w:rPr>
          <w:rFonts w:ascii="Times New Roman" w:eastAsia="Times New Roman" w:hAnsi="Times New Roman"/>
          <w:bCs/>
          <w:lang w:eastAsia="ru-RU"/>
        </w:rPr>
        <w:t>152-ФЗ</w:t>
      </w:r>
      <w:r w:rsidRPr="00204712">
        <w:rPr>
          <w:rFonts w:ascii="Times New Roman" w:hAnsi="Times New Roman"/>
        </w:rPr>
        <w:t xml:space="preserve"> «О персональных данных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» </w:t>
      </w:r>
      <w:r w:rsidRPr="0020471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204712">
        <w:rPr>
          <w:rStyle w:val="afc"/>
          <w:rFonts w:ascii="Times New Roman" w:eastAsia="Times New Roman" w:hAnsi="Times New Roman"/>
          <w:lang w:eastAsia="ru-RU"/>
        </w:rPr>
        <w:footnoteReference w:id="1"/>
      </w:r>
      <w:r w:rsidRPr="00204712"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Pr="00204712" w:rsidRDefault="00E4102A">
      <w:pPr>
        <w:rPr>
          <w:rFonts w:ascii="Times New Roman" w:hAnsi="Times New Roman"/>
          <w:bCs/>
        </w:rPr>
      </w:pPr>
      <w:r w:rsidRPr="00204712">
        <w:rPr>
          <w:rFonts w:ascii="Times New Roman" w:hAnsi="Times New Roman"/>
        </w:rPr>
        <w:tab/>
      </w:r>
      <w:r w:rsidRPr="00204712"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5264FB2D" w14:textId="392AF0F6" w:rsidR="00F96535" w:rsidRPr="00204712" w:rsidRDefault="00F65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2026</w:t>
      </w:r>
      <w:bookmarkStart w:id="0" w:name="_GoBack"/>
      <w:bookmarkEnd w:id="0"/>
      <w:r w:rsidR="00E4102A" w:rsidRPr="00204712">
        <w:rPr>
          <w:rFonts w:ascii="Times New Roman" w:hAnsi="Times New Roman"/>
        </w:rPr>
        <w:t xml:space="preserve"> г.</w:t>
      </w:r>
    </w:p>
    <w:p w14:paraId="0704BD00" w14:textId="77777777" w:rsidR="00F96535" w:rsidRPr="00204712" w:rsidRDefault="00F96535">
      <w:pPr>
        <w:jc w:val="both"/>
        <w:rPr>
          <w:rFonts w:ascii="Times New Roman" w:hAnsi="Times New Roman"/>
        </w:rPr>
      </w:pPr>
    </w:p>
    <w:sectPr w:rsidR="00F96535" w:rsidRPr="00204712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F69A6" w14:textId="77777777" w:rsidR="001D15CD" w:rsidRDefault="001D15CD">
      <w:r>
        <w:separator/>
      </w:r>
    </w:p>
  </w:endnote>
  <w:endnote w:type="continuationSeparator" w:id="0">
    <w:p w14:paraId="6F6BF764" w14:textId="77777777" w:rsidR="001D15CD" w:rsidRDefault="001D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65991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51568" w14:textId="77777777" w:rsidR="001D15CD" w:rsidRDefault="001D15CD">
      <w:pPr>
        <w:rPr>
          <w:sz w:val="12"/>
        </w:rPr>
      </w:pPr>
      <w:r>
        <w:separator/>
      </w:r>
    </w:p>
  </w:footnote>
  <w:footnote w:type="continuationSeparator" w:id="0">
    <w:p w14:paraId="0F2C110B" w14:textId="77777777" w:rsidR="001D15CD" w:rsidRDefault="001D15CD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1D15CD"/>
    <w:rsid w:val="00204712"/>
    <w:rsid w:val="00206C8F"/>
    <w:rsid w:val="00341C3D"/>
    <w:rsid w:val="00494F38"/>
    <w:rsid w:val="007C2553"/>
    <w:rsid w:val="00841160"/>
    <w:rsid w:val="00BB3DB9"/>
    <w:rsid w:val="00E4102A"/>
    <w:rsid w:val="00F65991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9190-4481-45EA-8D32-4029506E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1153</Words>
  <Characters>6574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11</cp:revision>
  <dcterms:created xsi:type="dcterms:W3CDTF">2024-05-15T07:08:00Z</dcterms:created>
  <dcterms:modified xsi:type="dcterms:W3CDTF">2026-07-09T11:38:00Z</dcterms:modified>
  <dc:language>ru-RU</dc:language>
</cp:coreProperties>
</file>