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6F69B91D" w:rsidR="00E172B3" w:rsidRPr="00D22373" w:rsidRDefault="00CD7EB5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29E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АО «РАД» (ИНН 7838430413, 1900</w:t>
      </w:r>
      <w:r w:rsidR="00D4075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</w:t>
      </w:r>
      <w:r w:rsidRPr="00E129E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Санкт-Петербург, пер. Гривцова, д.5, лит.В, </w:t>
      </w:r>
      <w:hyperlink r:id="rId5" w:history="1">
        <w:r w:rsidRPr="00E129E5">
          <w:rPr>
            <w:rStyle w:val="a3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  <w:lang w:eastAsia="ru-RU"/>
          </w:rPr>
          <w:t>8 800 777-57-57</w:t>
        </w:r>
      </w:hyperlink>
      <w:r w:rsidRPr="00E129E5">
        <w:rPr>
          <w:rFonts w:ascii="Times New Roman" w:hAnsi="Times New Roman" w:cs="Times New Roman"/>
          <w:sz w:val="20"/>
          <w:szCs w:val="20"/>
          <w:lang w:eastAsia="ru-RU"/>
        </w:rPr>
        <w:t xml:space="preserve"> (доб.323), vega@auction-house.ru, далее-ОТ), действующее на осн. договора поручения с Арбитражным управляющим процедуры распределения обнаруженного имущества ликвидированного юридического лица </w:t>
      </w:r>
      <w:r w:rsidRPr="00E129E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ООО «СОГЛАСИЕ ЦЕНТР» </w:t>
      </w:r>
      <w:r w:rsidRPr="00E129E5">
        <w:rPr>
          <w:rFonts w:ascii="Times New Roman" w:hAnsi="Times New Roman" w:cs="Times New Roman"/>
          <w:sz w:val="20"/>
          <w:szCs w:val="20"/>
          <w:lang w:eastAsia="ru-RU"/>
        </w:rPr>
        <w:t xml:space="preserve">(ИНН 7725399321) </w:t>
      </w:r>
      <w:r w:rsidRPr="00E129E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Исаевым М.И. </w:t>
      </w:r>
      <w:r w:rsidRPr="00E129E5">
        <w:rPr>
          <w:rFonts w:ascii="Times New Roman" w:hAnsi="Times New Roman" w:cs="Times New Roman"/>
          <w:sz w:val="20"/>
          <w:szCs w:val="20"/>
          <w:lang w:eastAsia="ru-RU"/>
        </w:rPr>
        <w:t>(ИНН 771674722625, далее-АУ), член Ассоциации МСОПАУ (ИНН 7701321710), действующего на осн. Решения А</w:t>
      </w:r>
      <w:r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Pr="00E129E5">
        <w:rPr>
          <w:rFonts w:ascii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129E5">
        <w:rPr>
          <w:rFonts w:ascii="Times New Roman" w:hAnsi="Times New Roman" w:cs="Times New Roman"/>
          <w:sz w:val="20"/>
          <w:szCs w:val="20"/>
          <w:lang w:eastAsia="ru-RU"/>
        </w:rPr>
        <w:t>Москвы от 13.08.2024 по делу №А40-256</w:t>
      </w:r>
      <w:r w:rsidRPr="00CD7EB5">
        <w:rPr>
          <w:rFonts w:ascii="Times New Roman" w:hAnsi="Times New Roman" w:cs="Times New Roman"/>
          <w:sz w:val="20"/>
          <w:szCs w:val="20"/>
          <w:lang w:eastAsia="ru-RU"/>
        </w:rPr>
        <w:t xml:space="preserve">43/24-136-199 о назначении процедуры распределения обнаруженного имущества ликвидированного юридического лица ООО «СОГЛАСИЕ ЦЕНТР», </w:t>
      </w:r>
      <w:r w:rsidR="00CD43A4" w:rsidRPr="00CD7EB5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CD7EB5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CD7EB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CD7E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CD7EB5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</w:t>
      </w:r>
      <w:r w:rsidR="00CD43A4" w:rsidRPr="00D22373">
        <w:rPr>
          <w:rFonts w:ascii="Times New Roman" w:hAnsi="Times New Roman" w:cs="Times New Roman"/>
          <w:sz w:val="20"/>
          <w:szCs w:val="20"/>
        </w:rPr>
        <w:t>АО «</w:t>
      </w:r>
      <w:r w:rsidRPr="00D22373">
        <w:rPr>
          <w:rFonts w:ascii="Times New Roman" w:hAnsi="Times New Roman" w:cs="Times New Roman"/>
          <w:sz w:val="20"/>
          <w:szCs w:val="20"/>
        </w:rPr>
        <w:t>РАД</w:t>
      </w:r>
      <w:r w:rsidR="00CD43A4" w:rsidRPr="00D22373">
        <w:rPr>
          <w:rFonts w:ascii="Times New Roman" w:hAnsi="Times New Roman" w:cs="Times New Roman"/>
          <w:sz w:val="20"/>
          <w:szCs w:val="20"/>
        </w:rPr>
        <w:t xml:space="preserve">» по адресу в сети </w:t>
      </w:r>
      <w:r w:rsidRPr="00D22373">
        <w:rPr>
          <w:rFonts w:ascii="Times New Roman" w:hAnsi="Times New Roman" w:cs="Times New Roman"/>
          <w:sz w:val="20"/>
          <w:szCs w:val="20"/>
        </w:rPr>
        <w:t>и</w:t>
      </w:r>
      <w:r w:rsidR="00CD43A4" w:rsidRPr="00D22373">
        <w:rPr>
          <w:rFonts w:ascii="Times New Roman" w:hAnsi="Times New Roman" w:cs="Times New Roman"/>
          <w:sz w:val="20"/>
          <w:szCs w:val="20"/>
        </w:rPr>
        <w:t xml:space="preserve">нтернет: </w:t>
      </w:r>
      <w:hyperlink r:id="rId6" w:history="1">
        <w:r w:rsidR="00572545" w:rsidRPr="00D22373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D22373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D22373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942B94"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CD43A4"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="00CD43A4"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7BCD"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CD43A4"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часов</w:t>
      </w:r>
      <w:r w:rsidR="00CD43A4" w:rsidRPr="00D22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(мск).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рабочий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день – 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/д. Прием заявок составляет: в 1-ом периоде - 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/д без изменения нач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период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/д, величина снижения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: со 2-го по 12-ый периоды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3867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на 5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предыдущем периоде; на 13-ом периоде – на 324 810,34 руб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; всего – 13 периодов.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Минимальная цена (цена отсечения) </w:t>
      </w:r>
      <w:r w:rsidR="00A86160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2373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13 624 500 </w:t>
      </w:r>
      <w:r w:rsidR="002F7AB6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D22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D785A53" w14:textId="1AB6E445" w:rsidR="00CD7EB5" w:rsidRPr="00CD7EB5" w:rsidRDefault="00CD7EB5" w:rsidP="00CD7EB5">
      <w:pPr>
        <w:pStyle w:val="ad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2373">
        <w:rPr>
          <w:rFonts w:ascii="Times New Roman" w:hAnsi="Times New Roman" w:cs="Times New Roman"/>
          <w:sz w:val="20"/>
          <w:szCs w:val="20"/>
          <w:lang w:eastAsia="ru-RU"/>
        </w:rPr>
        <w:t xml:space="preserve">Продаже </w:t>
      </w:r>
      <w:r w:rsidRPr="00D22373">
        <w:rPr>
          <w:rFonts w:ascii="Times New Roman" w:hAnsi="Times New Roman" w:cs="Times New Roman"/>
          <w:bCs/>
          <w:sz w:val="20"/>
          <w:szCs w:val="20"/>
          <w:lang w:eastAsia="ru-RU"/>
        </w:rPr>
        <w:t>единым лотом</w:t>
      </w:r>
      <w:r w:rsidRPr="00D2237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22373">
        <w:rPr>
          <w:rFonts w:ascii="Times New Roman" w:hAnsi="Times New Roman" w:cs="Times New Roman"/>
          <w:sz w:val="20"/>
          <w:szCs w:val="20"/>
          <w:lang w:eastAsia="ru-RU"/>
        </w:rPr>
        <w:t>подлежит имущество, расположенное по адресу: Ленинградская обл., Гатчинский муниципальный р-н, Таицкое городское поселение, дер. Тихвинка, д. 42б</w:t>
      </w:r>
      <w:r w:rsidRPr="00CD7EB5">
        <w:rPr>
          <w:rFonts w:ascii="Times New Roman" w:hAnsi="Times New Roman" w:cs="Times New Roman"/>
          <w:sz w:val="20"/>
          <w:szCs w:val="20"/>
          <w:lang w:eastAsia="ru-RU"/>
        </w:rPr>
        <w:t xml:space="preserve"> (далее-Имущество): </w:t>
      </w:r>
    </w:p>
    <w:p w14:paraId="687DD461" w14:textId="53FCA8B9" w:rsidR="00CD7EB5" w:rsidRPr="00CD7EB5" w:rsidRDefault="00CD7EB5" w:rsidP="00CD7EB5">
      <w:pPr>
        <w:pStyle w:val="ad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D7EB5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Pr="00CD7EB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D7EB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Здание (жилой дом)</w:t>
      </w:r>
      <w:r w:rsidRPr="00CD7EB5">
        <w:rPr>
          <w:rFonts w:ascii="Times New Roman" w:hAnsi="Times New Roman" w:cs="Times New Roman"/>
          <w:sz w:val="20"/>
          <w:szCs w:val="20"/>
          <w:lang w:eastAsia="ru-RU"/>
        </w:rPr>
        <w:t xml:space="preserve">, назначение: жилое, этажей: 3, пл. 588,4 кв.м., кад.№ 47:23:0230001:257, </w:t>
      </w:r>
      <w:r w:rsidRPr="00CD7EB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земельный участок,</w:t>
      </w:r>
      <w:r w:rsidRPr="00CD7EB5">
        <w:rPr>
          <w:rFonts w:ascii="Times New Roman" w:hAnsi="Times New Roman" w:cs="Times New Roman"/>
          <w:sz w:val="20"/>
          <w:szCs w:val="20"/>
          <w:lang w:eastAsia="ru-RU"/>
        </w:rPr>
        <w:t xml:space="preserve"> категория земель: земли населенных пунктов, ВРИ: для ИЖС, пл. 1 310 +/- 13 кв.м., кад.№ 47:23:0230001:4. </w:t>
      </w:r>
      <w:r w:rsidRPr="00CD7EB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Для информации:</w:t>
      </w:r>
      <w:r w:rsidRPr="00CD7EB5">
        <w:rPr>
          <w:rFonts w:ascii="Times New Roman" w:hAnsi="Times New Roman" w:cs="Times New Roman"/>
          <w:sz w:val="20"/>
          <w:szCs w:val="20"/>
          <w:lang w:eastAsia="ru-RU"/>
        </w:rPr>
        <w:t xml:space="preserve"> сведения о зарегистрированных лицах и проживающих без регистрации в жилом доме ОТ не предоставлены, на земельном участке расположено строение, не поставленное на кадастровый учет. </w:t>
      </w:r>
      <w:r w:rsidRPr="00CD7EB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Ограничение (обременение) Лота</w:t>
      </w:r>
      <w:r w:rsidRPr="00CD7EB5">
        <w:rPr>
          <w:rFonts w:ascii="Times New Roman" w:hAnsi="Times New Roman" w:cs="Times New Roman"/>
          <w:sz w:val="20"/>
          <w:szCs w:val="20"/>
          <w:lang w:eastAsia="ru-RU"/>
        </w:rPr>
        <w:t xml:space="preserve"> в соответствии с выписками из ЕГРН от 22.09.2025: ипотека в пользу владельцев ипотечных сертификатов участия ипотечного покрытия «ИСУ Капитал»,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участия». Д.У. ипотечным покрытием – ГОСУДАРСТВЕННАЯ КОРПОРАЦИЯ РАЗВИТИЯ «ВЭБ.РФ» ИНН: 7750004150, ОГРН: 1077711000102». </w:t>
      </w:r>
      <w:r w:rsidRPr="00CD7EB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Нач. цена – 24 524 100 руб.</w:t>
      </w:r>
    </w:p>
    <w:p w14:paraId="7D2DE609" w14:textId="0DBEB6F7" w:rsidR="00CD7EB5" w:rsidRPr="009064C8" w:rsidRDefault="00CD7EB5" w:rsidP="00CD7EB5">
      <w:pPr>
        <w:pStyle w:val="ad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CD7EB5">
        <w:rPr>
          <w:rFonts w:ascii="Times New Roman" w:hAnsi="Times New Roman" w:cs="Times New Roman"/>
          <w:iCs/>
          <w:sz w:val="20"/>
          <w:szCs w:val="20"/>
          <w:lang w:eastAsia="ru-RU"/>
        </w:rPr>
        <w:t>Ознакомление с Лотом производится по адресу местонахождения Имущества по предв. договоренности: эл. почта: au.isaev@yandex.ru, тел. +7 926 628 22 01 (Исаев Максим Игоревич), а также ОТ:</w:t>
      </w:r>
      <w:r w:rsidRPr="00CD7EB5">
        <w:t xml:space="preserve"> </w:t>
      </w:r>
      <w:r w:rsidRPr="00CD7EB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тел. 7(967)246-44-09, эл. почта: </w:t>
      </w:r>
      <w:hyperlink r:id="rId7" w:history="1">
        <w:r w:rsidRPr="00CD7EB5">
          <w:rPr>
            <w:rStyle w:val="a3"/>
            <w:rFonts w:ascii="Times New Roman" w:hAnsi="Times New Roman" w:cs="Times New Roman"/>
            <w:iCs/>
            <w:sz w:val="20"/>
            <w:szCs w:val="20"/>
            <w:lang w:eastAsia="ru-RU"/>
          </w:rPr>
          <w:t>v.smirnova@auction-house.ru</w:t>
        </w:r>
      </w:hyperlink>
      <w:r w:rsidRPr="00CD7EB5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</w:p>
    <w:p w14:paraId="7F9B0443" w14:textId="02BA8178" w:rsidR="002712FD" w:rsidRPr="00A16C61" w:rsidRDefault="00925822" w:rsidP="00A17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2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D22373" w:rsidRPr="00D22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D22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D22373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</w:t>
      </w:r>
      <w:r w:rsidR="000846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оргах в соответствующем периоде проведения </w:t>
      </w:r>
      <w:r w:rsidR="000846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оргов. </w:t>
      </w:r>
      <w:r w:rsidR="00C5364D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</w:t>
      </w:r>
      <w:r w:rsidR="00D22373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D22373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D22373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D22373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D2237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A17362" w:rsidRPr="00A17362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ликвидированному юридическому лицу ООО «СОГЛАСИЕ ЦЕНТР», кредиторам, АУ и о характере этой заинтересованности, сведения об участии в капитале заявителя АУ, СРО арбитражных управляющих, членом или руководителем которой является АУ.</w:t>
      </w:r>
      <w:r w:rsidR="00A17362">
        <w:rPr>
          <w:rFonts w:ascii="Times New Roman" w:hAnsi="Times New Roman" w:cs="Times New Roman"/>
          <w:sz w:val="20"/>
          <w:szCs w:val="20"/>
        </w:rPr>
        <w:t xml:space="preserve"> </w:t>
      </w:r>
      <w:r w:rsidR="002712FD" w:rsidRPr="002712FD">
        <w:rPr>
          <w:rFonts w:ascii="Times New Roman" w:hAnsi="Times New Roman" w:cs="Times New Roman"/>
          <w:sz w:val="20"/>
          <w:szCs w:val="20"/>
        </w:rPr>
        <w:t>ОТ</w:t>
      </w:r>
      <w:r w:rsidR="00C5364D" w:rsidRPr="002712FD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2712FD">
        <w:rPr>
          <w:rFonts w:ascii="Times New Roman" w:hAnsi="Times New Roman" w:cs="Times New Roman"/>
          <w:sz w:val="20"/>
          <w:szCs w:val="20"/>
        </w:rPr>
        <w:t xml:space="preserve">. </w:t>
      </w:r>
      <w:r w:rsidR="00A17362" w:rsidRPr="00A17362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A17362">
        <w:rPr>
          <w:rFonts w:ascii="Times New Roman" w:hAnsi="Times New Roman" w:cs="Times New Roman"/>
          <w:sz w:val="20"/>
          <w:szCs w:val="20"/>
        </w:rPr>
        <w:t xml:space="preserve"> </w:t>
      </w:r>
      <w:r w:rsidR="002712FD" w:rsidRPr="002712FD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(далее–ДКП) размещен на ЭП. ДКП заключается с победителем в течение 5 дней с даты получения победителем ДКП от АУ. Оплата–в течение 10 рабочих дней со дня подписания ДКП на осн. счет АУ: р/с 40817810550204000313 в Филиале «Центральный» ПАО «Совкомбанк», к/с 30101810150040000763, БИК 045004763. </w:t>
      </w:r>
      <w:r w:rsidR="002712FD" w:rsidRPr="002712FD">
        <w:rPr>
          <w:rFonts w:ascii="Times New Roman" w:hAnsi="Times New Roman" w:cs="Times New Roman"/>
          <w:sz w:val="20"/>
          <w:szCs w:val="20"/>
        </w:rPr>
        <w:lastRenderedPageBreak/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2712FD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46E1"/>
    <w:rsid w:val="00085CCC"/>
    <w:rsid w:val="00086FDB"/>
    <w:rsid w:val="000A5070"/>
    <w:rsid w:val="000A6752"/>
    <w:rsid w:val="000B7131"/>
    <w:rsid w:val="000E107D"/>
    <w:rsid w:val="000E19BA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712FD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17362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85A5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D7EB5"/>
    <w:rsid w:val="00CE310F"/>
    <w:rsid w:val="00D22373"/>
    <w:rsid w:val="00D35265"/>
    <w:rsid w:val="00D4075C"/>
    <w:rsid w:val="00D7625C"/>
    <w:rsid w:val="00D83929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2885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d">
    <w:name w:val="No Spacing"/>
    <w:uiPriority w:val="1"/>
    <w:qFormat/>
    <w:rsid w:val="00CD7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smirnov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tel:880077757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2026-07-03T15:24:00Z</cp:lastPrinted>
  <dcterms:created xsi:type="dcterms:W3CDTF">2026-07-09T12:09:00Z</dcterms:created>
  <dcterms:modified xsi:type="dcterms:W3CDTF">2026-07-09T12:16:00Z</dcterms:modified>
</cp:coreProperties>
</file>