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754BA574"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316E2E">
        <w:rPr>
          <w:rFonts w:eastAsia="Times New Roman" w:cs="Times New Roman"/>
          <w:b/>
          <w:bCs/>
          <w:kern w:val="0"/>
          <w:lang w:eastAsia="ru-RU" w:bidi="ar-SA"/>
        </w:rPr>
        <w:t>13 августа</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F0883FD"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316E2E">
        <w:rPr>
          <w:rFonts w:eastAsia="Times New Roman" w:cs="Times New Roman"/>
          <w:b/>
          <w:bCs/>
          <w:kern w:val="0"/>
          <w:lang w:eastAsia="ru-RU" w:bidi="ar-SA"/>
        </w:rPr>
        <w:t>10.07</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по </w:t>
      </w:r>
      <w:bookmarkStart w:id="0" w:name="_Hlk155702557"/>
      <w:r w:rsidR="00316E2E">
        <w:rPr>
          <w:rFonts w:eastAsia="Times New Roman" w:cs="Times New Roman"/>
          <w:b/>
          <w:bCs/>
          <w:kern w:val="0"/>
          <w:lang w:eastAsia="ru-RU" w:bidi="ar-SA"/>
        </w:rPr>
        <w:t>11.08</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4896708F"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316E2E">
        <w:rPr>
          <w:rFonts w:eastAsia="Times New Roman" w:cs="Times New Roman"/>
          <w:b/>
          <w:bCs/>
          <w:kern w:val="0"/>
          <w:lang w:eastAsia="ru-RU" w:bidi="ar-SA"/>
        </w:rPr>
        <w:t>11.08</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334D1855"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316E2E">
        <w:rPr>
          <w:rFonts w:eastAsia="Times New Roman" w:cs="Times New Roman"/>
          <w:b/>
          <w:bCs/>
          <w:kern w:val="0"/>
          <w:lang w:eastAsia="ru-RU" w:bidi="ar-SA"/>
        </w:rPr>
        <w:t>12.08</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5D50C0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w:t>
      </w:r>
      <w:r w:rsidR="008310B5">
        <w:rPr>
          <w:rFonts w:eastAsia="Times New Roman" w:cs="Times New Roman"/>
          <w:bCs/>
          <w:sz w:val="18"/>
          <w:szCs w:val="18"/>
          <w:lang w:eastAsia="ru-RU"/>
        </w:rPr>
        <w:t>овыш</w:t>
      </w:r>
      <w:r w:rsidRPr="00314CC5">
        <w:rPr>
          <w:rFonts w:eastAsia="Times New Roman" w:cs="Times New Roman"/>
          <w:bCs/>
          <w:sz w:val="18"/>
          <w:szCs w:val="18"/>
          <w:lang w:eastAsia="ru-RU"/>
        </w:rPr>
        <w:t>ения начальной цены («</w:t>
      </w:r>
      <w:r w:rsidR="008310B5">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C7D1029" w14:textId="2FDC6907" w:rsidR="008310B5" w:rsidRPr="008310B5"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 xml:space="preserve">Объект 1: </w:t>
      </w:r>
      <w:r w:rsidR="00D71806" w:rsidRPr="00D71806">
        <w:rPr>
          <w:rFonts w:eastAsia="Times New Roman" w:cs="Times New Roman"/>
          <w:bCs/>
          <w:kern w:val="0"/>
          <w:lang w:eastAsia="ru-RU" w:bidi="ar-SA"/>
        </w:rPr>
        <w:t xml:space="preserve">Нежилое помещение I, площадь: 243 кв. м, </w:t>
      </w:r>
      <w:r w:rsidR="00137593" w:rsidRPr="00137593">
        <w:rPr>
          <w:rFonts w:eastAsia="Times New Roman" w:cs="Times New Roman"/>
          <w:bCs/>
          <w:kern w:val="0"/>
          <w:lang w:eastAsia="ru-RU" w:bidi="ar-SA"/>
        </w:rPr>
        <w:t xml:space="preserve">назначение: нежилое, </w:t>
      </w:r>
      <w:r w:rsidR="00D71806" w:rsidRPr="00D71806">
        <w:rPr>
          <w:rFonts w:eastAsia="Times New Roman" w:cs="Times New Roman"/>
          <w:bCs/>
          <w:kern w:val="0"/>
          <w:lang w:eastAsia="ru-RU" w:bidi="ar-SA"/>
        </w:rPr>
        <w:t>номер, тип этажа на котором расположено помещение: Этаж № 1, расположенное по адресу: Российская Федерация, г.о. город-герой Волгоград, ул. Лужская, д. 28, пом. I, кадастровый номер 34:34:050041:2354</w:t>
      </w:r>
      <w:r w:rsidRPr="008310B5">
        <w:rPr>
          <w:rFonts w:eastAsia="Times New Roman" w:cs="Times New Roman"/>
          <w:bCs/>
          <w:kern w:val="0"/>
          <w:lang w:eastAsia="ru-RU" w:bidi="ar-SA"/>
        </w:rPr>
        <w:t>;</w:t>
      </w:r>
    </w:p>
    <w:p w14:paraId="320A6354" w14:textId="5DC2E588" w:rsidR="00D6307E"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 xml:space="preserve">Объект 2: </w:t>
      </w:r>
      <w:r w:rsidR="00D71806" w:rsidRPr="00D71806">
        <w:rPr>
          <w:rFonts w:eastAsia="Times New Roman" w:cs="Times New Roman"/>
          <w:bCs/>
          <w:kern w:val="0"/>
          <w:lang w:eastAsia="ru-RU" w:bidi="ar-SA"/>
        </w:rPr>
        <w:t>3/10 доли в праве общей долевой собственности на земельный участок площадью 581 кв. м, назначение: земли населенных пунктов, виды разрешенного использования: для размещения объектов торговли, расположенный по адресу: Волгоградская обл., г. Волгоград, ул. Лужская, 28, кадастровый номер 34:34:050041:35</w:t>
      </w:r>
      <w:r>
        <w:rPr>
          <w:rFonts w:eastAsia="Times New Roman" w:cs="Times New Roman"/>
          <w:bCs/>
          <w:kern w:val="0"/>
          <w:lang w:eastAsia="ru-RU" w:bidi="ar-SA"/>
        </w:rPr>
        <w:t>.</w:t>
      </w:r>
    </w:p>
    <w:p w14:paraId="3D9BD9D3" w14:textId="77777777" w:rsidR="008310B5" w:rsidRPr="007F344F" w:rsidRDefault="008310B5" w:rsidP="008310B5">
      <w:pPr>
        <w:jc w:val="both"/>
        <w:rPr>
          <w:rFonts w:eastAsia="Times New Roman" w:cs="Times New Roman"/>
          <w:b/>
          <w:bCs/>
          <w:kern w:val="0"/>
          <w:sz w:val="10"/>
          <w:szCs w:val="10"/>
          <w:lang w:eastAsia="ru-RU" w:bidi="ar-SA"/>
        </w:rPr>
      </w:pPr>
    </w:p>
    <w:p w14:paraId="78076378" w14:textId="0AB93A74" w:rsidR="009B1DA1" w:rsidRDefault="009B1DA1" w:rsidP="009B1DA1">
      <w:pPr>
        <w:jc w:val="both"/>
        <w:rPr>
          <w:lang w:eastAsia="en-US" w:bidi="ar-SA"/>
        </w:rPr>
      </w:pPr>
      <w:r w:rsidRPr="00C75D92">
        <w:rPr>
          <w:b/>
          <w:bCs/>
        </w:rPr>
        <w:t>Отлагательное условие по передаче Объект</w:t>
      </w:r>
      <w:r>
        <w:rPr>
          <w:b/>
          <w:bCs/>
        </w:rPr>
        <w:t>ов</w:t>
      </w:r>
      <w:r w:rsidRPr="00C75D92">
        <w:rPr>
          <w:b/>
          <w:bCs/>
        </w:rPr>
        <w:t>:</w:t>
      </w:r>
      <w:r w:rsidRPr="001C398F">
        <w:t xml:space="preserve"> Объект</w:t>
      </w:r>
      <w:r>
        <w:t>ы</w:t>
      </w:r>
      <w:r w:rsidRPr="001C398F">
        <w:t xml:space="preserve"> переда</w:t>
      </w:r>
      <w:r>
        <w:t>ю</w:t>
      </w:r>
      <w:r w:rsidRPr="001C398F">
        <w:t>тся Покупателю по Акту приема-передачи не позднее 3</w:t>
      </w:r>
      <w:r>
        <w:t>0</w:t>
      </w:r>
      <w:r w:rsidRPr="001C398F">
        <w:t xml:space="preserve"> </w:t>
      </w:r>
      <w:r w:rsidR="00D71806">
        <w:t xml:space="preserve">ноября </w:t>
      </w:r>
      <w:r w:rsidRPr="001C398F">
        <w:t>202</w:t>
      </w:r>
      <w:r>
        <w:t>6</w:t>
      </w:r>
      <w:r w:rsidRPr="001C398F">
        <w:t xml:space="preserve"> г. при условии оплаты</w:t>
      </w:r>
      <w:r w:rsidR="00D71806">
        <w:t xml:space="preserve"> в </w:t>
      </w:r>
      <w:r w:rsidR="00D71806" w:rsidRPr="001C398F">
        <w:t>полно</w:t>
      </w:r>
      <w:r w:rsidR="00D71806">
        <w:t>м объеме</w:t>
      </w:r>
      <w:r w:rsidR="00D71806" w:rsidRPr="001C398F">
        <w:t xml:space="preserve"> </w:t>
      </w:r>
      <w:r w:rsidRPr="001C398F">
        <w:t>цены продажи Объект</w:t>
      </w:r>
      <w:r>
        <w:t>ов</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Объектов на срок не более 2 (Двух) месяцев, без применения каких-либо штрафных санкций со стороны Покупателя.</w:t>
      </w:r>
    </w:p>
    <w:p w14:paraId="698AC01D" w14:textId="77777777" w:rsidR="009B1DA1" w:rsidRPr="009B1DA1" w:rsidRDefault="009B1DA1" w:rsidP="004401DC">
      <w:pPr>
        <w:jc w:val="both"/>
        <w:rPr>
          <w:rFonts w:cs="Times New Roman"/>
          <w:b/>
          <w:bCs/>
          <w:sz w:val="10"/>
          <w:szCs w:val="10"/>
          <w:shd w:val="clear" w:color="auto" w:fill="FFFFFF"/>
        </w:rPr>
      </w:pPr>
    </w:p>
    <w:p w14:paraId="38217692" w14:textId="4342823A"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8310B5">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8310B5">
        <w:t>а</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3315345F" w:rsidR="00AA661A" w:rsidRPr="001C21F6" w:rsidRDefault="00AA661A" w:rsidP="00AA661A">
      <w:pPr>
        <w:jc w:val="center"/>
        <w:rPr>
          <w:kern w:val="2"/>
        </w:rPr>
      </w:pPr>
      <w:bookmarkStart w:id="2" w:name="_Hlk217575135"/>
      <w:bookmarkEnd w:id="1"/>
      <w:r w:rsidRPr="001C21F6">
        <w:rPr>
          <w:b/>
          <w:bCs/>
          <w:kern w:val="2"/>
        </w:rPr>
        <w:t xml:space="preserve">Начальная цена Лота – </w:t>
      </w:r>
      <w:r w:rsidR="009412A0" w:rsidRPr="009412A0">
        <w:rPr>
          <w:b/>
          <w:bCs/>
          <w:kern w:val="2"/>
        </w:rPr>
        <w:t xml:space="preserve">15 438 400 </w:t>
      </w:r>
      <w:r w:rsidRPr="001C21F6">
        <w:rPr>
          <w:b/>
          <w:bCs/>
          <w:kern w:val="2"/>
        </w:rPr>
        <w:t>рубл</w:t>
      </w:r>
      <w:r w:rsidR="00FE4CFC" w:rsidRPr="001C21F6">
        <w:rPr>
          <w:b/>
          <w:bCs/>
          <w:kern w:val="2"/>
        </w:rPr>
        <w:t>ей</w:t>
      </w:r>
      <w:r w:rsidRPr="001C21F6">
        <w:rPr>
          <w:b/>
          <w:bCs/>
          <w:kern w:val="2"/>
        </w:rPr>
        <w:t xml:space="preserve"> 00 копеек, </w:t>
      </w:r>
      <w:r w:rsidRPr="001C21F6">
        <w:rPr>
          <w:kern w:val="2"/>
        </w:rPr>
        <w:t>в том числе НДС,</w:t>
      </w:r>
      <w:r w:rsidRPr="001C21F6">
        <w:t xml:space="preserve"> </w:t>
      </w:r>
      <w:r w:rsidRPr="001C21F6">
        <w:rPr>
          <w:kern w:val="2"/>
        </w:rPr>
        <w:t xml:space="preserve">из них:  </w:t>
      </w:r>
    </w:p>
    <w:p w14:paraId="33F140A6" w14:textId="7A9326C5" w:rsidR="00AA661A" w:rsidRPr="001C21F6" w:rsidRDefault="00AA661A" w:rsidP="00AA661A">
      <w:pPr>
        <w:jc w:val="center"/>
        <w:rPr>
          <w:kern w:val="2"/>
        </w:rPr>
      </w:pPr>
      <w:r w:rsidRPr="001C21F6">
        <w:rPr>
          <w:kern w:val="2"/>
        </w:rPr>
        <w:t xml:space="preserve">- стоимость Объекта 1 – </w:t>
      </w:r>
      <w:r w:rsidR="009412A0" w:rsidRPr="009412A0">
        <w:rPr>
          <w:kern w:val="2"/>
        </w:rPr>
        <w:t xml:space="preserve">14 123 048 </w:t>
      </w:r>
      <w:r w:rsidRPr="001C21F6">
        <w:rPr>
          <w:kern w:val="2"/>
        </w:rPr>
        <w:t>рубл</w:t>
      </w:r>
      <w:r w:rsidR="00542CA7" w:rsidRPr="001C21F6">
        <w:rPr>
          <w:kern w:val="2"/>
        </w:rPr>
        <w:t>ей</w:t>
      </w:r>
      <w:r w:rsidR="00DC7A1A" w:rsidRPr="001C21F6">
        <w:rPr>
          <w:kern w:val="2"/>
        </w:rPr>
        <w:t xml:space="preserve"> </w:t>
      </w:r>
      <w:r w:rsidR="00655F44">
        <w:rPr>
          <w:kern w:val="2"/>
        </w:rPr>
        <w:t>00</w:t>
      </w:r>
      <w:r w:rsidR="00DC7A1A" w:rsidRPr="001C21F6">
        <w:rPr>
          <w:kern w:val="2"/>
        </w:rPr>
        <w:t xml:space="preserve"> копеек</w:t>
      </w:r>
      <w:r w:rsidRPr="001C21F6">
        <w:rPr>
          <w:kern w:val="2"/>
        </w:rPr>
        <w:t xml:space="preserve"> (</w:t>
      </w:r>
      <w:r w:rsidR="00F73784" w:rsidRPr="001C21F6">
        <w:rPr>
          <w:kern w:val="2"/>
        </w:rPr>
        <w:t>в том числе НДС 22%)</w:t>
      </w:r>
      <w:r w:rsidRPr="001C21F6">
        <w:rPr>
          <w:kern w:val="2"/>
        </w:rPr>
        <w:t>,</w:t>
      </w:r>
    </w:p>
    <w:p w14:paraId="4949E743" w14:textId="17D2F256" w:rsidR="00AA661A" w:rsidRPr="001C21F6" w:rsidRDefault="00AA661A" w:rsidP="00AA661A">
      <w:pPr>
        <w:jc w:val="center"/>
        <w:rPr>
          <w:kern w:val="2"/>
        </w:rPr>
      </w:pPr>
      <w:r w:rsidRPr="001C21F6">
        <w:rPr>
          <w:kern w:val="2"/>
        </w:rPr>
        <w:t>- стоимость Объекта 2 –</w:t>
      </w:r>
      <w:r w:rsidR="00DC7A1A" w:rsidRPr="001C21F6">
        <w:rPr>
          <w:kern w:val="2"/>
        </w:rPr>
        <w:t xml:space="preserve"> </w:t>
      </w:r>
      <w:r w:rsidR="009412A0" w:rsidRPr="009412A0">
        <w:rPr>
          <w:kern w:val="2"/>
        </w:rPr>
        <w:t xml:space="preserve">1 315 352 </w:t>
      </w:r>
      <w:r w:rsidR="00DC7A1A" w:rsidRPr="001C21F6">
        <w:rPr>
          <w:kern w:val="2"/>
        </w:rPr>
        <w:t>рубл</w:t>
      </w:r>
      <w:r w:rsidR="007814DE">
        <w:rPr>
          <w:kern w:val="2"/>
        </w:rPr>
        <w:t>я</w:t>
      </w:r>
      <w:r w:rsidR="00DC7A1A" w:rsidRPr="001C21F6">
        <w:rPr>
          <w:kern w:val="2"/>
        </w:rPr>
        <w:t xml:space="preserve"> </w:t>
      </w:r>
      <w:r w:rsidR="00655F44">
        <w:rPr>
          <w:kern w:val="2"/>
        </w:rPr>
        <w:t>00</w:t>
      </w:r>
      <w:r w:rsidR="00DC7A1A" w:rsidRPr="001C21F6">
        <w:rPr>
          <w:kern w:val="2"/>
        </w:rPr>
        <w:t xml:space="preserve"> копе</w:t>
      </w:r>
      <w:r w:rsidR="00655F44">
        <w:rPr>
          <w:kern w:val="2"/>
        </w:rPr>
        <w:t>е</w:t>
      </w:r>
      <w:r w:rsidR="00DC7A1A" w:rsidRPr="001C21F6">
        <w:rPr>
          <w:kern w:val="2"/>
        </w:rPr>
        <w:t>к</w:t>
      </w:r>
      <w:r w:rsidRPr="001C21F6">
        <w:rPr>
          <w:kern w:val="2"/>
        </w:rPr>
        <w:t xml:space="preserve"> (</w:t>
      </w:r>
      <w:r w:rsidR="00F73784" w:rsidRPr="001C21F6">
        <w:rPr>
          <w:kern w:val="2"/>
        </w:rPr>
        <w:t xml:space="preserve">НДС </w:t>
      </w:r>
      <w:r w:rsidR="00655F44">
        <w:rPr>
          <w:kern w:val="2"/>
        </w:rPr>
        <w:t>не облагается).</w:t>
      </w:r>
    </w:p>
    <w:bookmarkEnd w:id="2"/>
    <w:p w14:paraId="022A68EC" w14:textId="287506F6" w:rsidR="00AA661A" w:rsidRPr="001C21F6" w:rsidRDefault="00AA661A" w:rsidP="00AA661A">
      <w:pPr>
        <w:jc w:val="center"/>
        <w:rPr>
          <w:b/>
          <w:bCs/>
          <w:kern w:val="2"/>
        </w:rPr>
      </w:pPr>
      <w:r w:rsidRPr="001C21F6">
        <w:rPr>
          <w:b/>
          <w:bCs/>
          <w:kern w:val="2"/>
        </w:rPr>
        <w:t xml:space="preserve">Сумма задатка – </w:t>
      </w:r>
      <w:r w:rsidR="00DE0C82" w:rsidRPr="00DE0C82">
        <w:rPr>
          <w:b/>
          <w:bCs/>
          <w:kern w:val="2"/>
        </w:rPr>
        <w:t xml:space="preserve">1 543 840 </w:t>
      </w:r>
      <w:r w:rsidRPr="001C21F6">
        <w:rPr>
          <w:b/>
          <w:bCs/>
          <w:kern w:val="2"/>
        </w:rPr>
        <w:t>рубл</w:t>
      </w:r>
      <w:r w:rsidR="00E74313" w:rsidRPr="001C21F6">
        <w:rPr>
          <w:b/>
          <w:bCs/>
          <w:kern w:val="2"/>
        </w:rPr>
        <w:t>ей</w:t>
      </w:r>
      <w:r w:rsidRPr="001C21F6">
        <w:rPr>
          <w:b/>
          <w:bCs/>
          <w:kern w:val="2"/>
        </w:rPr>
        <w:t xml:space="preserve"> </w:t>
      </w:r>
      <w:r w:rsidR="003033C2" w:rsidRPr="001C21F6">
        <w:rPr>
          <w:b/>
          <w:bCs/>
          <w:kern w:val="2"/>
        </w:rPr>
        <w:t>00</w:t>
      </w:r>
      <w:r w:rsidRPr="001C21F6">
        <w:rPr>
          <w:b/>
          <w:bCs/>
          <w:kern w:val="2"/>
        </w:rPr>
        <w:t xml:space="preserve"> копеек.</w:t>
      </w:r>
    </w:p>
    <w:p w14:paraId="394EEDCF" w14:textId="12D6C651" w:rsidR="00DC7A1A" w:rsidRDefault="00DC7A1A" w:rsidP="00DC7A1A">
      <w:pPr>
        <w:jc w:val="center"/>
        <w:rPr>
          <w:b/>
          <w:bCs/>
          <w:kern w:val="2"/>
        </w:rPr>
      </w:pPr>
      <w:r w:rsidRPr="001C21F6">
        <w:rPr>
          <w:b/>
          <w:bCs/>
          <w:kern w:val="2"/>
        </w:rPr>
        <w:t xml:space="preserve">Шаг аукциона – </w:t>
      </w:r>
      <w:r w:rsidR="00DE0C82" w:rsidRPr="00DE0C82">
        <w:rPr>
          <w:b/>
          <w:bCs/>
          <w:kern w:val="2"/>
        </w:rPr>
        <w:t xml:space="preserve">771 920 </w:t>
      </w:r>
      <w:r w:rsidRPr="001C21F6">
        <w:rPr>
          <w:b/>
          <w:bCs/>
          <w:kern w:val="2"/>
        </w:rPr>
        <w:t>рубл</w:t>
      </w:r>
      <w:r w:rsidR="00D832AF" w:rsidRPr="001C21F6">
        <w:rPr>
          <w:b/>
          <w:bCs/>
          <w:kern w:val="2"/>
        </w:rPr>
        <w:t>ей</w:t>
      </w:r>
      <w:r w:rsidRPr="001C21F6">
        <w:rPr>
          <w:b/>
          <w:bCs/>
          <w:kern w:val="2"/>
        </w:rPr>
        <w:t xml:space="preserve"> </w:t>
      </w:r>
      <w:r w:rsidR="003033C2" w:rsidRPr="001C21F6">
        <w:rPr>
          <w:b/>
          <w:bCs/>
          <w:kern w:val="2"/>
        </w:rPr>
        <w:t>0</w:t>
      </w:r>
      <w:r w:rsidRPr="001C21F6">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52464A4D"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FCF426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F363E7" w:rsidRPr="00F363E7">
        <w:t xml:space="preserve"> </w:t>
      </w:r>
      <w:r w:rsidR="00F363E7" w:rsidRPr="00F363E7">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29969DA0"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0A9B1F8"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w:t>
      </w:r>
      <w:bookmarkStart w:id="4" w:name="_Hlk221144701"/>
      <w:r w:rsidR="00AF5EE0">
        <w:rPr>
          <w:rFonts w:eastAsia="Times New Roman" w:cs="Times New Roman"/>
          <w:b/>
          <w:bCs/>
          <w:kern w:val="0"/>
          <w:u w:val="single"/>
          <w:lang w:eastAsia="ru-RU" w:bidi="ar-SA"/>
        </w:rPr>
        <w:t>/единственного участника</w:t>
      </w:r>
      <w:bookmarkEnd w:id="4"/>
      <w:r w:rsidRPr="006979D5">
        <w:rPr>
          <w:rFonts w:eastAsia="Times New Roman" w:cs="Times New Roman"/>
          <w:b/>
          <w:bCs/>
          <w:kern w:val="0"/>
          <w:u w:val="single"/>
          <w:lang w:eastAsia="ru-RU" w:bidi="ar-SA"/>
        </w:rPr>
        <w:t xml:space="preserve"> (лица имеющего право на заключение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6D591A5"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w:t>
      </w:r>
      <w:bookmarkStart w:id="5" w:name="_Hlk221144740"/>
      <w:r w:rsidR="00AF5EE0" w:rsidRPr="00AF5EE0">
        <w:rPr>
          <w:rFonts w:eastAsia="Times New Roman" w:cs="Times New Roman"/>
          <w:kern w:val="0"/>
          <w:u w:val="single"/>
          <w:lang w:eastAsia="ru-RU" w:bidi="ar-SA"/>
        </w:rPr>
        <w:t>/единственн</w:t>
      </w:r>
      <w:r w:rsidR="00AF5EE0">
        <w:rPr>
          <w:rFonts w:eastAsia="Times New Roman" w:cs="Times New Roman"/>
          <w:kern w:val="0"/>
          <w:u w:val="single"/>
          <w:lang w:eastAsia="ru-RU" w:bidi="ar-SA"/>
        </w:rPr>
        <w:t>ый</w:t>
      </w:r>
      <w:r w:rsidR="00AF5EE0" w:rsidRPr="00AF5EE0">
        <w:rPr>
          <w:rFonts w:eastAsia="Times New Roman" w:cs="Times New Roman"/>
          <w:kern w:val="0"/>
          <w:u w:val="single"/>
          <w:lang w:eastAsia="ru-RU" w:bidi="ar-SA"/>
        </w:rPr>
        <w:t xml:space="preserve"> участник</w:t>
      </w:r>
      <w:bookmarkEnd w:id="5"/>
      <w:r w:rsidRPr="006979D5">
        <w:rPr>
          <w:rFonts w:eastAsia="Times New Roman" w:cs="Times New Roman"/>
          <w:kern w:val="0"/>
          <w:u w:val="single"/>
          <w:lang w:eastAsia="ru-RU" w:bidi="ar-SA"/>
        </w:rPr>
        <w:t xml:space="preserve"> (лицо, имеющее право на заключение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5E9A293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F73033">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77078AD1"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7657805"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ABA6104"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B287A0C" w14:textId="77777777" w:rsidR="00AC7449" w:rsidRPr="0074416F" w:rsidRDefault="00AC7449" w:rsidP="00AC7449">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4ADEDC8D"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0900FD8"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F73033">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4D68AD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EA4958">
        <w:rPr>
          <w:rFonts w:eastAsia="Times New Roman" w:cs="Times New Roman"/>
          <w:lang w:eastAsia="ru-RU"/>
        </w:rPr>
        <w:t>выше</w:t>
      </w:r>
      <w:r w:rsidRPr="003E60ED">
        <w:rPr>
          <w:rFonts w:eastAsia="Times New Roman" w:cs="Times New Roman"/>
          <w:lang w:eastAsia="ru-RU"/>
        </w:rPr>
        <w:t>ние (</w:t>
      </w:r>
      <w:r w:rsidR="00EA4958">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F363E7" w:rsidRPr="00F363E7">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736D6F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F73033">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B830929" w14:textId="1E6C44D3" w:rsidR="007669F3" w:rsidRDefault="007669F3" w:rsidP="007669F3">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FE1774" w:rsidRPr="00FE1774">
        <w:rPr>
          <w:rFonts w:eastAsia="Times New Roman" w:cs="Times New Roman"/>
          <w:b/>
          <w:bCs/>
          <w:lang w:eastAsia="ru-RU"/>
        </w:rPr>
        <w:t xml:space="preserve">по цене не ниже начальной цены продажи </w:t>
      </w:r>
      <w:r w:rsidR="00FE1774">
        <w:rPr>
          <w:rFonts w:eastAsia="Times New Roman" w:cs="Times New Roman"/>
          <w:b/>
          <w:bCs/>
          <w:lang w:eastAsia="ru-RU"/>
        </w:rPr>
        <w:t>Лота</w:t>
      </w:r>
      <w:r w:rsidR="00FE1774" w:rsidRPr="00FE1774">
        <w:rPr>
          <w:rFonts w:eastAsia="Times New Roman" w:cs="Times New Roman"/>
          <w:b/>
          <w:bCs/>
          <w:lang w:eastAsia="ru-RU"/>
        </w:rPr>
        <w:t xml:space="preserve">, указанной в настоящем информационном сообщении, </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9DA7A1C" w14:textId="36BFB5A0"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sidR="00F73033">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4A323BBE" w14:textId="77777777" w:rsidR="00451787" w:rsidRPr="00511603" w:rsidRDefault="00451787" w:rsidP="00451787">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2AC623" w14:textId="77777777" w:rsidR="00451787" w:rsidRDefault="00451787" w:rsidP="00451787">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4E7EB67" w14:textId="36B10606" w:rsidR="007669F3" w:rsidRPr="007C3D62" w:rsidRDefault="007669F3" w:rsidP="007669F3">
      <w:pPr>
        <w:pStyle w:val="a4"/>
        <w:tabs>
          <w:tab w:val="left" w:pos="993"/>
        </w:tabs>
        <w:ind w:left="0" w:firstLine="709"/>
        <w:jc w:val="both"/>
      </w:pPr>
      <w:r w:rsidRPr="00833ED1">
        <w:t xml:space="preserve">Оплата </w:t>
      </w:r>
      <w:r>
        <w:t>ц</w:t>
      </w:r>
      <w:r w:rsidRPr="00833ED1">
        <w:t>ены продажи</w:t>
      </w:r>
      <w:r>
        <w:t xml:space="preserve"> приобретенных Объектов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w:t>
      </w:r>
      <w:r w:rsidR="00F2180E">
        <w:t>0</w:t>
      </w:r>
      <w:r>
        <w:t>.</w:t>
      </w:r>
      <w:r w:rsidR="00F2180E">
        <w:t>11</w:t>
      </w:r>
      <w:r w:rsidRPr="00833ED1">
        <w:t>.202</w:t>
      </w:r>
      <w:r>
        <w:t>6</w:t>
      </w:r>
      <w:r w:rsidRPr="00833ED1">
        <w:t>г.</w:t>
      </w:r>
      <w:r>
        <w:t xml:space="preserve"> включительно.</w:t>
      </w:r>
      <w:r w:rsidRPr="007C3D62">
        <w:t xml:space="preserve"> </w:t>
      </w:r>
    </w:p>
    <w:p w14:paraId="51C9CCF9" w14:textId="77777777" w:rsidR="002E0603" w:rsidRDefault="00451787" w:rsidP="007669F3">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w:t>
      </w:r>
    </w:p>
    <w:p w14:paraId="173232E7" w14:textId="484BC1C1" w:rsidR="00451787" w:rsidRDefault="00451787" w:rsidP="00856C9A">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BD7740C"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38BF00A"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7A8476E3" w14:textId="77777777" w:rsidR="00451787" w:rsidRDefault="00451787" w:rsidP="00451787">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83343">
          <w:headerReference w:type="default" r:id="rId12"/>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71E65"/>
    <w:rsid w:val="00080314"/>
    <w:rsid w:val="000839D6"/>
    <w:rsid w:val="00086A63"/>
    <w:rsid w:val="00091BFE"/>
    <w:rsid w:val="00094693"/>
    <w:rsid w:val="00094A39"/>
    <w:rsid w:val="000A258B"/>
    <w:rsid w:val="000A695A"/>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37593"/>
    <w:rsid w:val="00141392"/>
    <w:rsid w:val="001424C4"/>
    <w:rsid w:val="00142F53"/>
    <w:rsid w:val="00143C0F"/>
    <w:rsid w:val="00143F40"/>
    <w:rsid w:val="00146FBB"/>
    <w:rsid w:val="00151246"/>
    <w:rsid w:val="00151530"/>
    <w:rsid w:val="00151F37"/>
    <w:rsid w:val="00151F79"/>
    <w:rsid w:val="0015229D"/>
    <w:rsid w:val="00152FAE"/>
    <w:rsid w:val="0015389F"/>
    <w:rsid w:val="00162236"/>
    <w:rsid w:val="00162502"/>
    <w:rsid w:val="00162B7A"/>
    <w:rsid w:val="00164FD3"/>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1F6"/>
    <w:rsid w:val="001C283C"/>
    <w:rsid w:val="001C325E"/>
    <w:rsid w:val="001C398F"/>
    <w:rsid w:val="001C7F69"/>
    <w:rsid w:val="001D273E"/>
    <w:rsid w:val="001D2A9A"/>
    <w:rsid w:val="001D3641"/>
    <w:rsid w:val="001D4281"/>
    <w:rsid w:val="001D7804"/>
    <w:rsid w:val="001E1FC7"/>
    <w:rsid w:val="001E22A9"/>
    <w:rsid w:val="001E2678"/>
    <w:rsid w:val="001F108F"/>
    <w:rsid w:val="001F2A9F"/>
    <w:rsid w:val="001F7031"/>
    <w:rsid w:val="00202D73"/>
    <w:rsid w:val="00210CB2"/>
    <w:rsid w:val="00213913"/>
    <w:rsid w:val="00217948"/>
    <w:rsid w:val="00225FC9"/>
    <w:rsid w:val="00226479"/>
    <w:rsid w:val="002354EC"/>
    <w:rsid w:val="002374FE"/>
    <w:rsid w:val="002423E7"/>
    <w:rsid w:val="0024327E"/>
    <w:rsid w:val="0024384B"/>
    <w:rsid w:val="00243A35"/>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0603"/>
    <w:rsid w:val="002E25B5"/>
    <w:rsid w:val="002E5E8D"/>
    <w:rsid w:val="002E7E8E"/>
    <w:rsid w:val="002F0E1B"/>
    <w:rsid w:val="002F58DE"/>
    <w:rsid w:val="003014A4"/>
    <w:rsid w:val="003033C2"/>
    <w:rsid w:val="00304350"/>
    <w:rsid w:val="00310C2D"/>
    <w:rsid w:val="00310CE4"/>
    <w:rsid w:val="0031236A"/>
    <w:rsid w:val="00314CC5"/>
    <w:rsid w:val="00316E2E"/>
    <w:rsid w:val="0031774A"/>
    <w:rsid w:val="00320024"/>
    <w:rsid w:val="00326AC5"/>
    <w:rsid w:val="003306CD"/>
    <w:rsid w:val="0034116F"/>
    <w:rsid w:val="003469C2"/>
    <w:rsid w:val="00346B6A"/>
    <w:rsid w:val="00350ABA"/>
    <w:rsid w:val="00362359"/>
    <w:rsid w:val="00366D11"/>
    <w:rsid w:val="00367865"/>
    <w:rsid w:val="003709E6"/>
    <w:rsid w:val="00372895"/>
    <w:rsid w:val="00373AFE"/>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787"/>
    <w:rsid w:val="00451F50"/>
    <w:rsid w:val="004606DB"/>
    <w:rsid w:val="00465EFD"/>
    <w:rsid w:val="0046698F"/>
    <w:rsid w:val="004701E0"/>
    <w:rsid w:val="0047134A"/>
    <w:rsid w:val="004722DF"/>
    <w:rsid w:val="0047292F"/>
    <w:rsid w:val="00472F54"/>
    <w:rsid w:val="004732E3"/>
    <w:rsid w:val="0047448B"/>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1985"/>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7D1"/>
    <w:rsid w:val="0053086C"/>
    <w:rsid w:val="0053098D"/>
    <w:rsid w:val="00536953"/>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261B4"/>
    <w:rsid w:val="006375D5"/>
    <w:rsid w:val="006444C7"/>
    <w:rsid w:val="0064598A"/>
    <w:rsid w:val="00645E00"/>
    <w:rsid w:val="00647D0D"/>
    <w:rsid w:val="00655F44"/>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A39D2"/>
    <w:rsid w:val="006B5E95"/>
    <w:rsid w:val="006B615E"/>
    <w:rsid w:val="006B777D"/>
    <w:rsid w:val="006C05D8"/>
    <w:rsid w:val="006C1EF7"/>
    <w:rsid w:val="006C2CFB"/>
    <w:rsid w:val="006C3657"/>
    <w:rsid w:val="006C3E5A"/>
    <w:rsid w:val="006C46AF"/>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669F3"/>
    <w:rsid w:val="007716C1"/>
    <w:rsid w:val="00774377"/>
    <w:rsid w:val="007814DE"/>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24CE"/>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10B5"/>
    <w:rsid w:val="00835B46"/>
    <w:rsid w:val="008367AE"/>
    <w:rsid w:val="00841610"/>
    <w:rsid w:val="00841CE4"/>
    <w:rsid w:val="00842FE6"/>
    <w:rsid w:val="008441DB"/>
    <w:rsid w:val="00845341"/>
    <w:rsid w:val="00845B14"/>
    <w:rsid w:val="00853AF6"/>
    <w:rsid w:val="00855933"/>
    <w:rsid w:val="00856C9A"/>
    <w:rsid w:val="00861221"/>
    <w:rsid w:val="00865A5D"/>
    <w:rsid w:val="00870FBD"/>
    <w:rsid w:val="008755E3"/>
    <w:rsid w:val="00885404"/>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12A0"/>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1DA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C7449"/>
    <w:rsid w:val="00AD1B89"/>
    <w:rsid w:val="00AD236A"/>
    <w:rsid w:val="00AD6D4C"/>
    <w:rsid w:val="00AD77B4"/>
    <w:rsid w:val="00AD7C27"/>
    <w:rsid w:val="00AE117F"/>
    <w:rsid w:val="00AE1F81"/>
    <w:rsid w:val="00AE25F8"/>
    <w:rsid w:val="00AE3327"/>
    <w:rsid w:val="00AE6F0E"/>
    <w:rsid w:val="00AF5EE0"/>
    <w:rsid w:val="00AF620C"/>
    <w:rsid w:val="00B0004F"/>
    <w:rsid w:val="00B005D7"/>
    <w:rsid w:val="00B03AD2"/>
    <w:rsid w:val="00B06987"/>
    <w:rsid w:val="00B145BD"/>
    <w:rsid w:val="00B16B6D"/>
    <w:rsid w:val="00B22EB3"/>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2230"/>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1806"/>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2AFC"/>
    <w:rsid w:val="00DC4A62"/>
    <w:rsid w:val="00DC69F9"/>
    <w:rsid w:val="00DC7A1A"/>
    <w:rsid w:val="00DD2660"/>
    <w:rsid w:val="00DD26F2"/>
    <w:rsid w:val="00DD42B2"/>
    <w:rsid w:val="00DD4FBB"/>
    <w:rsid w:val="00DD6CEA"/>
    <w:rsid w:val="00DD75E0"/>
    <w:rsid w:val="00DE0C82"/>
    <w:rsid w:val="00DE3FB7"/>
    <w:rsid w:val="00DE6972"/>
    <w:rsid w:val="00DE739C"/>
    <w:rsid w:val="00DE7A9A"/>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56F64"/>
    <w:rsid w:val="00E57B68"/>
    <w:rsid w:val="00E60249"/>
    <w:rsid w:val="00E613D3"/>
    <w:rsid w:val="00E63640"/>
    <w:rsid w:val="00E650B3"/>
    <w:rsid w:val="00E67441"/>
    <w:rsid w:val="00E67A5D"/>
    <w:rsid w:val="00E7057F"/>
    <w:rsid w:val="00E71446"/>
    <w:rsid w:val="00E72099"/>
    <w:rsid w:val="00E74313"/>
    <w:rsid w:val="00E743FE"/>
    <w:rsid w:val="00E74758"/>
    <w:rsid w:val="00E81A38"/>
    <w:rsid w:val="00E83343"/>
    <w:rsid w:val="00E84ECB"/>
    <w:rsid w:val="00E90FC8"/>
    <w:rsid w:val="00E91048"/>
    <w:rsid w:val="00E971EE"/>
    <w:rsid w:val="00E975D2"/>
    <w:rsid w:val="00EA0754"/>
    <w:rsid w:val="00EA3C45"/>
    <w:rsid w:val="00EA40DE"/>
    <w:rsid w:val="00EA4958"/>
    <w:rsid w:val="00EB059A"/>
    <w:rsid w:val="00EB355D"/>
    <w:rsid w:val="00EB36F8"/>
    <w:rsid w:val="00EC00CA"/>
    <w:rsid w:val="00EC1DD7"/>
    <w:rsid w:val="00EC4181"/>
    <w:rsid w:val="00EC430A"/>
    <w:rsid w:val="00EC5077"/>
    <w:rsid w:val="00EC55E6"/>
    <w:rsid w:val="00EC5940"/>
    <w:rsid w:val="00EC6F37"/>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180E"/>
    <w:rsid w:val="00F24B09"/>
    <w:rsid w:val="00F26B99"/>
    <w:rsid w:val="00F30E9E"/>
    <w:rsid w:val="00F33C41"/>
    <w:rsid w:val="00F33C89"/>
    <w:rsid w:val="00F363E7"/>
    <w:rsid w:val="00F36537"/>
    <w:rsid w:val="00F36855"/>
    <w:rsid w:val="00F37A2F"/>
    <w:rsid w:val="00F4029A"/>
    <w:rsid w:val="00F42574"/>
    <w:rsid w:val="00F44827"/>
    <w:rsid w:val="00F44A1F"/>
    <w:rsid w:val="00F46836"/>
    <w:rsid w:val="00F50898"/>
    <w:rsid w:val="00F51889"/>
    <w:rsid w:val="00F56CF0"/>
    <w:rsid w:val="00F66725"/>
    <w:rsid w:val="00F67399"/>
    <w:rsid w:val="00F72B53"/>
    <w:rsid w:val="00F73033"/>
    <w:rsid w:val="00F73784"/>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1774"/>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F3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5492</Words>
  <Characters>31311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2022-06-30T19:29:00Z</cp:lastPrinted>
  <dcterms:created xsi:type="dcterms:W3CDTF">2026-07-08T12:50:00Z</dcterms:created>
  <dcterms:modified xsi:type="dcterms:W3CDTF">2026-07-08T12:59:00Z</dcterms:modified>
</cp:coreProperties>
</file>