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5F" w:rsidRPr="007C0172" w:rsidRDefault="00A42F5F" w:rsidP="00A42F5F">
      <w:pPr>
        <w:tabs>
          <w:tab w:val="left" w:pos="4622"/>
          <w:tab w:val="left" w:pos="9198"/>
        </w:tabs>
        <w:suppressAutoHyphens/>
        <w:spacing w:after="0" w:line="240" w:lineRule="auto"/>
        <w:rPr>
          <w:rFonts w:ascii="Times New Roman" w:hAnsi="Times New Roman"/>
          <w:b/>
          <w:sz w:val="24"/>
          <w:lang w:val="en-US"/>
        </w:rPr>
      </w:pPr>
    </w:p>
    <w:p w:rsidR="00A42F5F" w:rsidRDefault="00A42F5F" w:rsidP="00A42F5F">
      <w:pPr>
        <w:spacing w:after="0" w:line="276" w:lineRule="auto"/>
        <w:jc w:val="center"/>
        <w:rPr>
          <w:rFonts w:ascii="Times New Roman" w:eastAsia="Times New Roman" w:hAnsi="Times New Roman" w:cs="Times New Roman"/>
          <w:b/>
          <w:bCs/>
          <w:sz w:val="24"/>
          <w:szCs w:val="24"/>
          <w:lang w:eastAsia="ru-RU"/>
        </w:rPr>
      </w:pPr>
    </w:p>
    <w:p w:rsidR="00A42F5F" w:rsidRPr="002A4297" w:rsidRDefault="00A42F5F" w:rsidP="00A42F5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A42F5F" w:rsidRPr="002A4297" w:rsidRDefault="00A42F5F" w:rsidP="00A42F5F">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A42F5F" w:rsidRPr="002A4297" w:rsidRDefault="00A42F5F" w:rsidP="00A42F5F">
      <w:pPr>
        <w:spacing w:after="0" w:line="240" w:lineRule="auto"/>
        <w:jc w:val="center"/>
        <w:rPr>
          <w:rFonts w:ascii="Times New Roman" w:eastAsia="Times New Roman" w:hAnsi="Times New Roman" w:cs="Times New Roman"/>
          <w:sz w:val="24"/>
          <w:szCs w:val="24"/>
          <w:lang w:eastAsia="ru-RU"/>
        </w:rPr>
      </w:pPr>
    </w:p>
    <w:p w:rsidR="00A42F5F" w:rsidRPr="002A4297" w:rsidRDefault="00A42F5F" w:rsidP="00A42F5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bookmarkEnd w:id="0"/>
    </w:p>
    <w:p w:rsidR="00A42F5F" w:rsidRPr="00A42F5F" w:rsidRDefault="00A42F5F" w:rsidP="00A42F5F">
      <w:pPr>
        <w:widowControl w:val="0"/>
        <w:suppressAutoHyphens/>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w:t>
      </w:r>
      <w:r w:rsidRPr="00A42F5F">
        <w:rPr>
          <w:rFonts w:ascii="Times New Roman" w:eastAsia="Times New Roman" w:hAnsi="Times New Roman" w:cs="Times New Roman"/>
          <w:sz w:val="24"/>
          <w:szCs w:val="24"/>
          <w:lang w:eastAsia="ru-RU"/>
        </w:rPr>
        <w:t>ежилое помещение _____________</w:t>
      </w:r>
      <w:r w:rsidRPr="002A4297">
        <w:rPr>
          <w:vertAlign w:val="superscript"/>
          <w:lang w:eastAsia="ru-RU"/>
        </w:rPr>
        <w:footnoteReference w:id="7"/>
      </w:r>
      <w:r w:rsidRPr="00A42F5F">
        <w:rPr>
          <w:rFonts w:ascii="Times New Roman" w:eastAsia="Times New Roman" w:hAnsi="Times New Roman" w:cs="Times New Roman"/>
          <w:sz w:val="24"/>
          <w:szCs w:val="24"/>
          <w:lang w:eastAsia="ru-RU"/>
        </w:rPr>
        <w:t xml:space="preserve"> (далее – «</w:t>
      </w:r>
      <w:r w:rsidRPr="00A42F5F">
        <w:rPr>
          <w:rFonts w:ascii="Times New Roman" w:eastAsia="Times New Roman" w:hAnsi="Times New Roman" w:cs="Times New Roman"/>
          <w:b/>
          <w:sz w:val="24"/>
          <w:szCs w:val="24"/>
          <w:lang w:eastAsia="ru-RU"/>
        </w:rPr>
        <w:t>Объект</w:t>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r w:rsidRPr="002A4297">
        <w:rPr>
          <w:rFonts w:ascii="Times New Roman" w:eastAsia="Times New Roman" w:hAnsi="Times New Roman" w:cs="Times New Roman"/>
          <w:sz w:val="24"/>
          <w:szCs w:val="24"/>
          <w:vertAlign w:val="superscript"/>
          <w:lang w:eastAsia="ru-RU"/>
        </w:rPr>
        <w:footnoteReference w:id="8"/>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w:t>
      </w:r>
    </w:p>
    <w:p w:rsidR="00A42F5F" w:rsidRPr="00A42F5F" w:rsidRDefault="00A42F5F" w:rsidP="00A42F5F">
      <w:pPr>
        <w:pStyle w:val="af3"/>
        <w:numPr>
          <w:ilvl w:val="1"/>
          <w:numId w:val="3"/>
        </w:numPr>
        <w:spacing w:after="0" w:line="240" w:lineRule="auto"/>
        <w:ind w:left="0" w:firstLine="851"/>
        <w:jc w:val="both"/>
        <w:rPr>
          <w:rFonts w:ascii="Times New Roman" w:eastAsia="Times New Roman" w:hAnsi="Times New Roman" w:cs="Times New Roman"/>
          <w:sz w:val="24"/>
          <w:szCs w:val="24"/>
          <w:lang w:eastAsia="ru-RU"/>
        </w:rPr>
      </w:pPr>
      <w:r w:rsidRPr="00A42F5F">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Pr>
          <w:rFonts w:ascii="Times New Roman" w:eastAsia="Times New Roman" w:hAnsi="Times New Roman" w:cs="Times New Roman"/>
          <w:sz w:val="24"/>
          <w:szCs w:val="24"/>
          <w:lang w:eastAsia="ru-RU"/>
        </w:rPr>
        <w:t>Объект</w:t>
      </w:r>
      <w:r w:rsidRPr="00A42F5F">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A4297">
        <w:rPr>
          <w:vertAlign w:val="superscript"/>
          <w:lang w:eastAsia="ru-RU"/>
        </w:rPr>
        <w:footnoteReference w:id="13"/>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Продавец обязуется сохранить такое положение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A42F5F" w:rsidRPr="002A4297" w:rsidRDefault="00A42F5F" w:rsidP="00A42F5F">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343488"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Объекта</w:t>
      </w:r>
    </w:p>
    <w:p w:rsidR="00A42F5F" w:rsidRPr="002A4297" w:rsidRDefault="00A42F5F" w:rsidP="00A42F5F">
      <w:pPr>
        <w:spacing w:after="0" w:line="240" w:lineRule="auto"/>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Продавец не позднее</w:t>
      </w:r>
      <w:proofErr w:type="gramStart"/>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переходит к соответствующей Стороне с момента передачи ей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по акту приема-передачи.</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2F5F">
        <w:rPr>
          <w:rFonts w:ascii="Times New Roman" w:hAnsi="Times New Roman"/>
          <w:b/>
          <w:sz w:val="24"/>
        </w:rPr>
        <w:t>орган регистрации прав</w:t>
      </w:r>
      <w:r w:rsidRPr="00A42F5F">
        <w:rPr>
          <w:rFonts w:ascii="Times New Roman" w:eastAsia="Times New Roman" w:hAnsi="Times New Roman" w:cs="Times New Roman"/>
          <w:b/>
          <w:sz w:val="24"/>
          <w:szCs w:val="24"/>
          <w:lang w:eastAsia="ru-RU"/>
        </w:rPr>
        <w:t>»</w:t>
      </w:r>
      <w:r w:rsidRPr="00A42F5F">
        <w:rPr>
          <w:rFonts w:ascii="Times New Roman" w:eastAsia="Times New Roman" w:hAnsi="Times New Roman" w:cs="Times New Roman"/>
          <w:sz w:val="24"/>
          <w:szCs w:val="24"/>
          <w:lang w:eastAsia="ru-RU"/>
        </w:rPr>
        <w:t>)</w:t>
      </w:r>
      <w:bookmarkStart w:id="3" w:name="_Ref82097368"/>
      <w:bookmarkStart w:id="4" w:name="_Ref14365683"/>
      <w:r>
        <w:rPr>
          <w:rFonts w:ascii="Times New Roman" w:eastAsia="Times New Roman" w:hAnsi="Times New Roman" w:cs="Times New Roman"/>
          <w:sz w:val="24"/>
          <w:szCs w:val="24"/>
          <w:lang w:eastAsia="ru-RU"/>
        </w:rPr>
        <w:t>.</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Pr>
          <w:rFonts w:ascii="Times New Roman" w:eastAsia="Times New Roman" w:hAnsi="Times New Roman" w:cs="Times New Roman"/>
          <w:sz w:val="24"/>
          <w:szCs w:val="24"/>
          <w:lang w:eastAsia="ru-RU"/>
        </w:rPr>
        <w:t xml:space="preserve">Объект </w:t>
      </w:r>
      <w:r w:rsidRPr="00A42F5F">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A42F5F" w:rsidRPr="007B1EF4"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proofErr w:type="gramStart"/>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Pr>
          <w:rFonts w:ascii="Times New Roman" w:eastAsia="Times New Roman" w:hAnsi="Times New Roman" w:cs="Times New Roman"/>
          <w:sz w:val="24"/>
          <w:szCs w:val="24"/>
          <w:lang w:eastAsia="ru-RU"/>
        </w:rPr>
        <w:t xml:space="preserve">Объект </w:t>
      </w:r>
      <w:r w:rsidRPr="007B1EF4">
        <w:rPr>
          <w:rFonts w:ascii="Times New Roman" w:eastAsia="Times New Roman" w:hAnsi="Times New Roman" w:cs="Times New Roman"/>
          <w:sz w:val="24"/>
          <w:szCs w:val="24"/>
          <w:lang w:eastAsia="ru-RU"/>
        </w:rPr>
        <w:t xml:space="preserve">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w:t>
      </w:r>
      <w:proofErr w:type="gramEnd"/>
      <w:r w:rsidRPr="007B1EF4">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7B1EF4">
        <w:rPr>
          <w:rFonts w:ascii="Times New Roman" w:eastAsia="Times New Roman" w:hAnsi="Times New Roman" w:cs="Times New Roman"/>
          <w:sz w:val="24"/>
          <w:szCs w:val="24"/>
          <w:lang w:eastAsia="ru-RU"/>
        </w:rPr>
        <w:t>с даты подписания</w:t>
      </w:r>
      <w:proofErr w:type="gramEnd"/>
      <w:r w:rsidRPr="007B1EF4">
        <w:rPr>
          <w:rFonts w:ascii="Times New Roman" w:eastAsia="Times New Roman" w:hAnsi="Times New Roman" w:cs="Times New Roman"/>
          <w:sz w:val="24"/>
          <w:szCs w:val="24"/>
          <w:lang w:eastAsia="ru-RU"/>
        </w:rPr>
        <w:t xml:space="preserve"> данного акта приема-передачи (возврата) </w:t>
      </w:r>
      <w:r>
        <w:rPr>
          <w:rFonts w:ascii="Times New Roman" w:eastAsia="Times New Roman" w:hAnsi="Times New Roman" w:cs="Times New Roman"/>
          <w:sz w:val="24"/>
          <w:szCs w:val="24"/>
          <w:lang w:eastAsia="ru-RU"/>
        </w:rPr>
        <w:t>Объекта</w:t>
      </w:r>
      <w:r w:rsidRPr="007B1EF4">
        <w:rPr>
          <w:rFonts w:ascii="Times New Roman" w:eastAsia="Times New Roman" w:hAnsi="Times New Roman" w:cs="Times New Roman"/>
          <w:sz w:val="24"/>
          <w:szCs w:val="24"/>
          <w:lang w:eastAsia="ru-RU"/>
        </w:rPr>
        <w:t>.</w:t>
      </w:r>
      <w:bookmarkEnd w:id="5"/>
    </w:p>
    <w:p w:rsidR="00A42F5F" w:rsidRPr="00E11832" w:rsidRDefault="00A42F5F" w:rsidP="00A42F5F">
      <w:pPr>
        <w:spacing w:after="0" w:line="240" w:lineRule="auto"/>
        <w:ind w:left="709"/>
        <w:contextualSpacing/>
        <w:jc w:val="both"/>
        <w:rPr>
          <w:rFonts w:ascii="Times New Roman" w:eastAsia="Calibri" w:hAnsi="Times New Roman" w:cs="Times New Roman"/>
          <w:sz w:val="24"/>
          <w:szCs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w:t>
      </w:r>
      <w:proofErr w:type="gramStart"/>
      <w:r w:rsidRPr="002A4297">
        <w:rPr>
          <w:rFonts w:ascii="Times New Roman" w:eastAsia="Times New Roman" w:hAnsi="Times New Roman" w:cs="Times New Roman"/>
          <w:sz w:val="24"/>
          <w:szCs w:val="24"/>
          <w:lang w:eastAsia="ru-RU"/>
        </w:rPr>
        <w:t>: ________ (____________) 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 xml:space="preserve">включая </w:t>
      </w:r>
      <w:bookmarkStart w:id="8" w:name="_GoBack"/>
      <w:r w:rsidRPr="002A4297">
        <w:rPr>
          <w:rFonts w:ascii="Times New Roman" w:eastAsia="Times New Roman" w:hAnsi="Times New Roman" w:cs="Times New Roman"/>
          <w:sz w:val="24"/>
          <w:szCs w:val="24"/>
          <w:lang w:eastAsia="ru-RU"/>
        </w:rPr>
        <w:t>НДС</w:t>
      </w:r>
      <w:bookmarkEnd w:id="8"/>
      <w:r w:rsidRPr="002A4297">
        <w:rPr>
          <w:rFonts w:ascii="Times New Roman" w:eastAsia="Times New Roman" w:hAnsi="Times New Roman" w:cs="Times New Roman"/>
          <w:sz w:val="24"/>
          <w:szCs w:val="24"/>
          <w:lang w:eastAsia="ru-RU"/>
        </w:rPr>
        <w:t xml:space="preserve"> (2</w:t>
      </w:r>
      <w:r w:rsidR="00DA511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A42F5F" w:rsidRPr="002A4297" w:rsidRDefault="00A42F5F" w:rsidP="00A42F5F">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7"/>
      </w:r>
      <w:r w:rsidRPr="002A4297">
        <w:rPr>
          <w:rFonts w:ascii="Times New Roman" w:eastAsia="Times New Roman" w:hAnsi="Times New Roman" w:cs="Times New Roman"/>
          <w:sz w:val="24"/>
          <w:szCs w:val="24"/>
          <w:lang w:eastAsia="ru-RU"/>
        </w:rPr>
        <w:t>Стоимость Объекта составляет</w:t>
      </w:r>
      <w:proofErr w:type="gramStart"/>
      <w:r w:rsidRPr="002A4297">
        <w:rPr>
          <w:rFonts w:ascii="Times New Roman" w:eastAsia="Times New Roman" w:hAnsi="Times New Roman" w:cs="Times New Roman"/>
          <w:sz w:val="24"/>
          <w:szCs w:val="24"/>
          <w:lang w:eastAsia="ru-RU"/>
        </w:rPr>
        <w:t xml:space="preserve">: ________ (____________) ________, </w:t>
      </w:r>
      <w:proofErr w:type="gramEnd"/>
      <w:r w:rsidRPr="002A4297">
        <w:rPr>
          <w:rFonts w:ascii="Times New Roman" w:eastAsia="Times New Roman" w:hAnsi="Times New Roman" w:cs="Times New Roman"/>
          <w:sz w:val="24"/>
          <w:szCs w:val="24"/>
          <w:lang w:eastAsia="ru-RU"/>
        </w:rPr>
        <w:t>кроме того НДС (2</w:t>
      </w:r>
      <w:r w:rsidR="00DA511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A42F5F" w:rsidRPr="007F6085" w:rsidRDefault="00A42F5F" w:rsidP="00A42F5F">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526057">
        <w:rPr>
          <w:rFonts w:ascii="Times New Roman" w:hAnsi="Times New Roman"/>
          <w:sz w:val="24"/>
        </w:rPr>
        <w:t>Объекта</w:t>
      </w:r>
      <w:r w:rsidRPr="007F6085">
        <w:rPr>
          <w:rFonts w:ascii="Times New Roman" w:hAnsi="Times New Roman"/>
          <w:sz w:val="24"/>
        </w:rPr>
        <w:t xml:space="preserve">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18"/>
      </w:r>
      <w:proofErr w:type="gramStart"/>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w:t>
      </w:r>
      <w:r w:rsidR="00DA511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roofErr w:type="gramEnd"/>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proofErr w:type="gramStart"/>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w:t>
      </w:r>
      <w:r w:rsidR="00DA511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(место нахождения: _____,</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roofErr w:type="gramEnd"/>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proofErr w:type="gramStart"/>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(оставшейся части в размере __________ (________) ______________, включая НДС (2</w:t>
      </w:r>
      <w:r w:rsidR="00DA511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 xml:space="preserve">в течение 5 (пяти) рабочих дней с момента государственной регистрации перехода Покупателю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и ипотеки в пользу Банка.</w:t>
      </w:r>
      <w:proofErr w:type="gramEnd"/>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5"/>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526057">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526057">
        <w:rPr>
          <w:rFonts w:ascii="Times New Roman" w:eastAsia="Times New Roman" w:hAnsi="Times New Roman" w:cs="Times New Roman"/>
          <w:sz w:val="24"/>
          <w:szCs w:val="24"/>
          <w:lang w:eastAsia="ru-RU"/>
        </w:rPr>
        <w:t xml:space="preserve">Объекту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числе</w:t>
      </w:r>
      <w:proofErr w:type="gramEnd"/>
      <w:r>
        <w:rPr>
          <w:rFonts w:ascii="Times New Roman" w:eastAsia="Times New Roman" w:hAnsi="Times New Roman" w:cs="Times New Roman"/>
          <w:sz w:val="24"/>
          <w:szCs w:val="24"/>
          <w:lang w:eastAsia="ru-RU"/>
        </w:rPr>
        <w:t xml:space="preserve">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A42F5F" w:rsidRPr="00C26408"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proofErr w:type="gramStart"/>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A42F5F" w:rsidRDefault="00A42F5F" w:rsidP="00A42F5F">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 xml:space="preserve">(одного)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526057">
        <w:rPr>
          <w:rFonts w:ascii="Times New Roman" w:hAnsi="Times New Roman"/>
          <w:sz w:val="24"/>
        </w:rPr>
        <w:t>Объекта</w:t>
      </w:r>
      <w:r w:rsidRPr="007F6085">
        <w:rPr>
          <w:rFonts w:ascii="Times New Roman" w:hAnsi="Times New Roman"/>
          <w:sz w:val="24"/>
        </w:rPr>
        <w:t>.</w:t>
      </w:r>
    </w:p>
    <w:p w:rsidR="00A42F5F" w:rsidRPr="00343488"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343488">
        <w:rPr>
          <w:rStyle w:val="af5"/>
          <w:rFonts w:eastAsia="Times New Roman"/>
          <w:sz w:val="24"/>
          <w:szCs w:val="24"/>
          <w:lang w:eastAsia="ru-RU"/>
        </w:rPr>
        <w:footnoteReference w:id="27"/>
      </w:r>
      <w:proofErr w:type="gramStart"/>
      <w:r w:rsidRPr="00343488">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343488">
        <w:rPr>
          <w:rStyle w:val="af5"/>
          <w:rFonts w:eastAsia="Times New Roman"/>
          <w:sz w:val="24"/>
          <w:szCs w:val="24"/>
          <w:lang w:eastAsia="ru-RU"/>
        </w:rPr>
        <w:footnoteReference w:id="28"/>
      </w:r>
      <w:r w:rsidRPr="00343488">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343488">
        <w:rPr>
          <w:rFonts w:ascii="Times New Roman" w:eastAsia="Times New Roman" w:hAnsi="Times New Roman" w:cs="Times New Roman"/>
          <w:sz w:val="24"/>
          <w:szCs w:val="24"/>
          <w:lang w:eastAsia="ru-RU"/>
        </w:rPr>
        <w:fldChar w:fldCharType="begin"/>
      </w:r>
      <w:r w:rsidRPr="00343488">
        <w:rPr>
          <w:rFonts w:ascii="Times New Roman" w:eastAsia="Times New Roman" w:hAnsi="Times New Roman" w:cs="Times New Roman"/>
          <w:sz w:val="24"/>
          <w:szCs w:val="24"/>
          <w:lang w:eastAsia="ru-RU"/>
        </w:rPr>
        <w:instrText xml:space="preserve"> REF _Ref486328488 \r \h </w:instrText>
      </w:r>
      <w:r w:rsidR="00B82BD9" w:rsidRPr="00343488">
        <w:rPr>
          <w:rFonts w:ascii="Times New Roman" w:eastAsia="Times New Roman" w:hAnsi="Times New Roman" w:cs="Times New Roman"/>
          <w:sz w:val="24"/>
          <w:szCs w:val="24"/>
          <w:lang w:eastAsia="ru-RU"/>
        </w:rPr>
        <w:instrText xml:space="preserve"> \* MERGEFORMAT </w:instrText>
      </w:r>
      <w:r w:rsidRPr="00343488">
        <w:rPr>
          <w:rFonts w:ascii="Times New Roman" w:eastAsia="Times New Roman" w:hAnsi="Times New Roman" w:cs="Times New Roman"/>
          <w:sz w:val="24"/>
          <w:szCs w:val="24"/>
          <w:lang w:eastAsia="ru-RU"/>
        </w:rPr>
      </w:r>
      <w:r w:rsidRPr="00343488">
        <w:rPr>
          <w:rFonts w:ascii="Times New Roman" w:eastAsia="Times New Roman" w:hAnsi="Times New Roman" w:cs="Times New Roman"/>
          <w:sz w:val="24"/>
          <w:szCs w:val="24"/>
          <w:lang w:eastAsia="ru-RU"/>
        </w:rPr>
        <w:fldChar w:fldCharType="separate"/>
      </w:r>
      <w:r w:rsidRPr="00343488">
        <w:rPr>
          <w:rFonts w:ascii="Times New Roman" w:eastAsia="Times New Roman" w:hAnsi="Times New Roman" w:cs="Times New Roman"/>
          <w:sz w:val="24"/>
          <w:szCs w:val="24"/>
          <w:lang w:eastAsia="ru-RU"/>
        </w:rPr>
        <w:t>3.1</w:t>
      </w:r>
      <w:r w:rsidRPr="00343488">
        <w:rPr>
          <w:rFonts w:ascii="Times New Roman" w:eastAsia="Times New Roman" w:hAnsi="Times New Roman" w:cs="Times New Roman"/>
          <w:sz w:val="24"/>
          <w:szCs w:val="24"/>
          <w:lang w:eastAsia="ru-RU"/>
        </w:rPr>
        <w:fldChar w:fldCharType="end"/>
      </w:r>
      <w:r w:rsidRPr="00343488">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w:t>
      </w:r>
      <w:r w:rsidR="00526057" w:rsidRPr="00343488">
        <w:rPr>
          <w:rFonts w:ascii="Times New Roman" w:eastAsia="Times New Roman" w:hAnsi="Times New Roman" w:cs="Times New Roman"/>
          <w:sz w:val="24"/>
          <w:szCs w:val="24"/>
          <w:lang w:eastAsia="ru-RU"/>
        </w:rPr>
        <w:t>Объект</w:t>
      </w:r>
      <w:r w:rsidRPr="00343488">
        <w:rPr>
          <w:rFonts w:ascii="Times New Roman" w:eastAsia="Times New Roman" w:hAnsi="Times New Roman" w:cs="Times New Roman"/>
          <w:sz w:val="24"/>
          <w:szCs w:val="24"/>
          <w:lang w:eastAsia="ru-RU"/>
        </w:rPr>
        <w:t>,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343488">
        <w:rPr>
          <w:rFonts w:ascii="Times New Roman" w:eastAsia="Times New Roman" w:hAnsi="Times New Roman" w:cs="Times New Roman"/>
          <w:sz w:val="24"/>
          <w:szCs w:val="24"/>
          <w:lang w:eastAsia="ru-RU"/>
        </w:rPr>
        <w:t xml:space="preserve"> При этом сумма возмещения указанных расходов Продавца рассчитывается следующим образом:</w:t>
      </w:r>
      <w:bookmarkEnd w:id="15"/>
      <w:r w:rsidRPr="00343488">
        <w:rPr>
          <w:rFonts w:ascii="Times New Roman" w:eastAsia="Times New Roman" w:hAnsi="Times New Roman" w:cs="Times New Roman"/>
          <w:sz w:val="24"/>
          <w:szCs w:val="24"/>
          <w:lang w:eastAsia="ru-RU"/>
        </w:rPr>
        <w:t xml:space="preserve"> </w:t>
      </w:r>
    </w:p>
    <w:p w:rsidR="00A42F5F" w:rsidRPr="00343488"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343488">
        <w:rPr>
          <w:rFonts w:ascii="Times New Roman" w:eastAsia="Times New Roman" w:hAnsi="Times New Roman" w:cs="Times New Roman"/>
          <w:b/>
          <w:sz w:val="24"/>
          <w:szCs w:val="24"/>
          <w:lang w:eastAsia="ru-RU"/>
        </w:rPr>
        <w:t>после 15-го числа</w:t>
      </w:r>
      <w:r w:rsidRPr="00343488">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343488">
        <w:rPr>
          <w:rStyle w:val="af5"/>
          <w:rFonts w:eastAsia="Times New Roman"/>
          <w:sz w:val="24"/>
          <w:szCs w:val="24"/>
          <w:lang w:eastAsia="ru-RU"/>
        </w:rPr>
        <w:footnoteReference w:id="29"/>
      </w:r>
      <w:r w:rsidRPr="00343488">
        <w:rPr>
          <w:rFonts w:ascii="Times New Roman" w:eastAsia="Times New Roman" w:hAnsi="Times New Roman" w:cs="Times New Roman"/>
          <w:sz w:val="24"/>
          <w:szCs w:val="24"/>
          <w:lang w:eastAsia="ru-RU"/>
        </w:rPr>
        <w:t>;</w:t>
      </w:r>
    </w:p>
    <w:p w:rsidR="00A42F5F" w:rsidRPr="00343488"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343488">
        <w:rPr>
          <w:rFonts w:ascii="Times New Roman" w:eastAsia="Times New Roman" w:hAnsi="Times New Roman" w:cs="Times New Roman"/>
          <w:b/>
          <w:sz w:val="24"/>
          <w:szCs w:val="24"/>
          <w:lang w:eastAsia="ru-RU"/>
        </w:rPr>
        <w:t>до 15-го числа</w:t>
      </w:r>
      <w:r w:rsidRPr="00343488">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xml:space="preserve"> до 1 (первого) числа месяца, в котором зарегистрирован переход права собственности на </w:t>
      </w:r>
      <w:r w:rsidR="00526057" w:rsidRPr="00343488">
        <w:rPr>
          <w:rFonts w:ascii="Times New Roman" w:eastAsia="Times New Roman" w:hAnsi="Times New Roman" w:cs="Times New Roman"/>
          <w:sz w:val="24"/>
          <w:szCs w:val="24"/>
          <w:lang w:eastAsia="ru-RU"/>
        </w:rPr>
        <w:t>Объект</w:t>
      </w:r>
      <w:r w:rsidRPr="00343488">
        <w:rPr>
          <w:rFonts w:ascii="Times New Roman" w:eastAsia="Times New Roman" w:hAnsi="Times New Roman" w:cs="Times New Roman"/>
          <w:sz w:val="24"/>
          <w:szCs w:val="24"/>
          <w:lang w:eastAsia="ru-RU"/>
        </w:rPr>
        <w:t>;</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в) если акт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xml:space="preserve"> подписан и переход права собственности зарегистрирован </w:t>
      </w:r>
      <w:r w:rsidRPr="00343488">
        <w:rPr>
          <w:rFonts w:ascii="Times New Roman" w:eastAsia="Times New Roman" w:hAnsi="Times New Roman" w:cs="Times New Roman"/>
          <w:b/>
          <w:sz w:val="24"/>
          <w:szCs w:val="24"/>
          <w:lang w:eastAsia="ru-RU"/>
        </w:rPr>
        <w:t>до 15-го числа</w:t>
      </w:r>
      <w:r w:rsidRPr="00343488">
        <w:rPr>
          <w:rFonts w:ascii="Times New Roman" w:eastAsia="Times New Roman" w:hAnsi="Times New Roman" w:cs="Times New Roman"/>
          <w:sz w:val="24"/>
          <w:szCs w:val="24"/>
          <w:lang w:eastAsia="ru-RU"/>
        </w:rPr>
        <w:t xml:space="preserve"> (включительно) </w:t>
      </w:r>
      <w:r w:rsidRPr="00343488">
        <w:rPr>
          <w:rFonts w:ascii="Times New Roman" w:eastAsia="Times New Roman" w:hAnsi="Times New Roman" w:cs="Times New Roman"/>
          <w:b/>
          <w:sz w:val="24"/>
          <w:szCs w:val="24"/>
          <w:lang w:eastAsia="ru-RU"/>
        </w:rPr>
        <w:t>того же месяца</w:t>
      </w:r>
      <w:r w:rsidRPr="00343488">
        <w:rPr>
          <w:rFonts w:ascii="Times New Roman" w:eastAsia="Times New Roman" w:hAnsi="Times New Roman" w:cs="Times New Roman"/>
          <w:sz w:val="24"/>
          <w:szCs w:val="24"/>
          <w:lang w:eastAsia="ru-RU"/>
        </w:rPr>
        <w:t xml:space="preserve"> – расходов у Продавца, подлежащих</w:t>
      </w:r>
      <w:r w:rsidRPr="00343488">
        <w:rPr>
          <w:rFonts w:ascii="Times New Roman" w:eastAsia="Times New Roman" w:hAnsi="Times New Roman" w:cs="Times New Roman"/>
          <w:b/>
          <w:sz w:val="24"/>
          <w:szCs w:val="24"/>
          <w:lang w:eastAsia="ru-RU"/>
        </w:rPr>
        <w:t xml:space="preserve"> </w:t>
      </w:r>
      <w:r w:rsidRPr="00343488">
        <w:rPr>
          <w:rFonts w:ascii="Times New Roman" w:eastAsia="Times New Roman" w:hAnsi="Times New Roman" w:cs="Times New Roman"/>
          <w:sz w:val="24"/>
          <w:szCs w:val="24"/>
          <w:lang w:eastAsia="ru-RU"/>
        </w:rPr>
        <w:t>возмещению Покупателем,</w:t>
      </w:r>
      <w:r w:rsidRPr="00343488">
        <w:rPr>
          <w:rFonts w:ascii="Times New Roman" w:eastAsia="Times New Roman" w:hAnsi="Times New Roman" w:cs="Times New Roman"/>
          <w:b/>
          <w:sz w:val="24"/>
          <w:szCs w:val="24"/>
          <w:lang w:eastAsia="ru-RU"/>
        </w:rPr>
        <w:t xml:space="preserve"> </w:t>
      </w:r>
      <w:r w:rsidRPr="00343488">
        <w:rPr>
          <w:rFonts w:ascii="Times New Roman" w:eastAsia="Times New Roman" w:hAnsi="Times New Roman" w:cs="Times New Roman"/>
          <w:sz w:val="24"/>
          <w:szCs w:val="24"/>
          <w:lang w:eastAsia="ru-RU"/>
        </w:rPr>
        <w:t>не образуется в силу пункта 5 статьи 382</w:t>
      </w:r>
      <w:r w:rsidRPr="00343488">
        <w:rPr>
          <w:rFonts w:ascii="Times New Roman" w:eastAsia="Times New Roman" w:hAnsi="Times New Roman" w:cs="Times New Roman"/>
          <w:sz w:val="24"/>
          <w:szCs w:val="24"/>
          <w:lang w:val="en-US" w:eastAsia="ru-RU"/>
        </w:rPr>
        <w:t> </w:t>
      </w:r>
      <w:r w:rsidR="00526057" w:rsidRPr="00343488">
        <w:rPr>
          <w:rFonts w:ascii="Times New Roman" w:eastAsia="Times New Roman" w:hAnsi="Times New Roman" w:cs="Times New Roman"/>
          <w:sz w:val="24"/>
          <w:szCs w:val="24"/>
          <w:lang w:eastAsia="ru-RU"/>
        </w:rPr>
        <w:t>НК РФ (налог на имущество).</w:t>
      </w:r>
    </w:p>
    <w:p w:rsidR="00A42F5F" w:rsidRDefault="00A42F5F" w:rsidP="00A42F5F">
      <w:pPr>
        <w:spacing w:after="0" w:line="240" w:lineRule="auto"/>
        <w:ind w:firstLine="709"/>
        <w:contextualSpacing/>
        <w:rPr>
          <w:rFonts w:ascii="Times New Roman" w:hAnsi="Times New Roman"/>
          <w:b/>
          <w:sz w:val="24"/>
        </w:rPr>
      </w:pPr>
    </w:p>
    <w:p w:rsidR="00526057" w:rsidRPr="00A32147" w:rsidRDefault="00526057" w:rsidP="00A42F5F">
      <w:pPr>
        <w:spacing w:after="0" w:line="240" w:lineRule="auto"/>
        <w:ind w:firstLine="709"/>
        <w:contextualSpacing/>
        <w:rPr>
          <w:rFonts w:ascii="Times New Roman" w:hAnsi="Times New Roman"/>
          <w:b/>
          <w:sz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A63C3C" w:rsidRDefault="00A42F5F" w:rsidP="00A42F5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В течение</w:t>
      </w:r>
      <w:proofErr w:type="gramStart"/>
      <w:r w:rsidRPr="002A4297">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30"/>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bookmarkEnd w:id="16"/>
      <w:r w:rsidR="00A63C3C">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A42F5F" w:rsidRPr="00CF2289" w:rsidRDefault="00A42F5F" w:rsidP="00A42F5F">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A63C3C">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A42F5F" w:rsidRPr="007F6085" w:rsidRDefault="00A42F5F" w:rsidP="00A42F5F">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1"/>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2"/>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A42F5F" w:rsidRPr="0083595C"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83595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 xml:space="preserve">Принять и оплатить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7"/>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A42F5F" w:rsidRPr="00B21233"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33"/>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vertAlign w:val="superscript"/>
          <w:lang w:eastAsia="ru-RU"/>
        </w:rPr>
        <w:footnoteReference w:id="3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8"/>
    </w:p>
    <w:p w:rsidR="00A42F5F"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A63C3C" w:rsidRPr="002A4297" w:rsidRDefault="00A63C3C" w:rsidP="00A63C3C">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roofErr w:type="gramEnd"/>
    </w:p>
    <w:p w:rsidR="00A42F5F" w:rsidRPr="0018707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w:t>
      </w:r>
      <w:proofErr w:type="gramStart"/>
      <w:r w:rsidRPr="000046DE">
        <w:rPr>
          <w:rFonts w:ascii="Times New Roman" w:eastAsia="Times New Roman" w:hAnsi="Times New Roman" w:cs="Times New Roman"/>
          <w:sz w:val="24"/>
          <w:szCs w:val="24"/>
          <w:lang w:eastAsia="ru-RU"/>
        </w:rPr>
        <w:t>,</w:t>
      </w:r>
      <w:proofErr w:type="gramEnd"/>
      <w:r w:rsidRPr="000046DE">
        <w:rPr>
          <w:rFonts w:ascii="Times New Roman" w:eastAsia="Times New Roman" w:hAnsi="Times New Roman" w:cs="Times New Roman"/>
          <w:sz w:val="24"/>
          <w:szCs w:val="24"/>
          <w:lang w:eastAsia="ru-RU"/>
        </w:rPr>
        <w:t xml:space="preserve"> если Покупатель не по вине Продавца не принимает </w:t>
      </w:r>
      <w:r w:rsidR="00A63C3C">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В случае нарушения сроков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 xml:space="preserve">случае невозврата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roofErr w:type="gramEnd"/>
    </w:p>
    <w:p w:rsidR="00A42F5F" w:rsidRPr="00EC636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w:t>
      </w:r>
      <w:proofErr w:type="gramStart"/>
      <w:r w:rsidRPr="002A4297">
        <w:rPr>
          <w:rFonts w:ascii="Times New Roman" w:eastAsia="Times New Roman" w:hAnsi="Times New Roman" w:cs="Times New Roman"/>
          <w:sz w:val="24"/>
          <w:szCs w:val="24"/>
          <w:lang w:eastAsia="ru-RU"/>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1"/>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A42F5F"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w:t>
      </w:r>
      <w:r w:rsidR="00A63C3C">
        <w:rPr>
          <w:rFonts w:ascii="Times New Roman" w:eastAsia="Times New Roman" w:hAnsi="Times New Roman" w:cs="Times New Roman"/>
          <w:sz w:val="24"/>
          <w:szCs w:val="24"/>
          <w:lang w:eastAsia="ru-RU"/>
        </w:rPr>
        <w:t>у</w:t>
      </w:r>
      <w:r w:rsidRPr="00EC1B0F">
        <w:rPr>
          <w:rFonts w:ascii="Times New Roman" w:eastAsia="Times New Roman" w:hAnsi="Times New Roman" w:cs="Times New Roman"/>
          <w:sz w:val="24"/>
          <w:szCs w:val="24"/>
          <w:lang w:eastAsia="ru-RU"/>
        </w:rPr>
        <w:t xml:space="preserve"> приема-передачи</w:t>
      </w:r>
      <w:r w:rsidRPr="002A4297">
        <w:rPr>
          <w:rFonts w:ascii="Times New Roman" w:eastAsia="Times New Roman" w:hAnsi="Times New Roman" w:cs="Times New Roman"/>
          <w:sz w:val="24"/>
          <w:szCs w:val="24"/>
          <w:lang w:eastAsia="ru-RU"/>
        </w:rPr>
        <w:t xml:space="preserve">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w:t>
      </w:r>
      <w:r w:rsidR="00A63C3C">
        <w:rPr>
          <w:rFonts w:ascii="Times New Roman" w:eastAsia="Times New Roman" w:hAnsi="Times New Roman" w:cs="Times New Roman"/>
          <w:sz w:val="24"/>
          <w:szCs w:val="24"/>
          <w:lang w:eastAsia="ru-RU"/>
        </w:rPr>
        <w:t>а</w:t>
      </w:r>
      <w:r w:rsidRPr="002A4297">
        <w:rPr>
          <w:rFonts w:ascii="Times New Roman" w:eastAsia="Times New Roman" w:hAnsi="Times New Roman" w:cs="Times New Roman"/>
          <w:sz w:val="24"/>
          <w:szCs w:val="24"/>
          <w:lang w:eastAsia="ru-RU"/>
        </w:rPr>
        <w:t xml:space="preserve"> приема-передачи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2"/>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A42F5F" w:rsidRPr="00220FD4"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C53201"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A42F5F" w:rsidRPr="006B73E2"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A42F5F" w:rsidRPr="006B6677"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E4511D" w:rsidRDefault="00A42F5F" w:rsidP="00A42F5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0070A4" w:rsidRDefault="00A42F5F" w:rsidP="00A42F5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A42F5F" w:rsidRPr="004E7AD9" w:rsidRDefault="00A42F5F" w:rsidP="00A42F5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42F5F" w:rsidRPr="004E7AD9" w:rsidRDefault="00A42F5F" w:rsidP="00A42F5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42F5F" w:rsidRPr="004E7AD9" w:rsidRDefault="00A42F5F" w:rsidP="00A42F5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A42F5F" w:rsidRPr="004E7AD9" w:rsidRDefault="00A42F5F" w:rsidP="00A42F5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A42F5F" w:rsidRPr="004E7AD9" w:rsidRDefault="00A42F5F" w:rsidP="00A42F5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A42F5F" w:rsidRPr="00EC1894"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6B6677" w:rsidRDefault="00A42F5F" w:rsidP="00A42F5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A63C3C">
        <w:rPr>
          <w:rFonts w:ascii="Times New Roman" w:eastAsia="Times New Roman" w:hAnsi="Times New Roman" w:cs="Times New Roman"/>
          <w:color w:val="000000"/>
          <w:sz w:val="24"/>
          <w:szCs w:val="24"/>
          <w:lang w:eastAsia="ru-RU"/>
        </w:rPr>
        <w:t xml:space="preserve"> Арбитражный суд г. Москвы</w:t>
      </w:r>
      <w:proofErr w:type="gramStart"/>
      <w:r w:rsidR="00A63C3C">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sz w:val="24"/>
          <w:szCs w:val="24"/>
          <w:lang w:eastAsia="ru-RU"/>
        </w:rPr>
        <w:t>.</w:t>
      </w:r>
      <w:proofErr w:type="gramEnd"/>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42F5F"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A42F5F" w:rsidRDefault="00A42F5F" w:rsidP="00A42F5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42F5F" w:rsidRPr="007F6085" w:rsidRDefault="00A42F5F" w:rsidP="00A42F5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5"/>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A42F5F" w:rsidRPr="004F7105" w:rsidRDefault="00A42F5F" w:rsidP="00A42F5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63C3C">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42F5F" w:rsidRPr="002A4297" w:rsidRDefault="00A42F5F" w:rsidP="00A42F5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p>
    <w:p w:rsidR="00A42F5F" w:rsidRPr="002A4297" w:rsidRDefault="00A42F5F" w:rsidP="00A42F5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A42F5F" w:rsidRDefault="00A42F5F" w:rsidP="00A42F5F">
      <w:pPr>
        <w:spacing w:after="0" w:line="240" w:lineRule="auto"/>
        <w:contextualSpacing/>
        <w:outlineLvl w:val="0"/>
        <w:rPr>
          <w:rFonts w:ascii="Times New Roman" w:eastAsia="Times New Roman" w:hAnsi="Times New Roman" w:cs="Times New Roman"/>
          <w:b/>
          <w:sz w:val="24"/>
          <w:szCs w:val="24"/>
          <w:lang w:eastAsia="ru-RU"/>
        </w:rPr>
      </w:pPr>
    </w:p>
    <w:bookmarkEnd w:id="26"/>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9"/>
      </w:r>
      <w:r w:rsidRPr="002A4297">
        <w:rPr>
          <w:rFonts w:ascii="Times New Roman" w:eastAsia="Times New Roman" w:hAnsi="Times New Roman" w:cs="Times New Roman"/>
          <w:b/>
          <w:sz w:val="24"/>
          <w:szCs w:val="24"/>
          <w:lang w:eastAsia="ru-RU"/>
        </w:rPr>
        <w:t>:</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Pr="002A429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A42F5F" w:rsidRPr="00730EC5" w:rsidRDefault="00A42F5F" w:rsidP="00A42F5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4"/>
      </w:r>
    </w:p>
    <w:p w:rsidR="00A42F5F" w:rsidRPr="00FA56E6"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6"/>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A42F5F" w:rsidRPr="00B65DDB" w:rsidRDefault="00A42F5F" w:rsidP="00A42F5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p>
    <w:p w:rsidR="00A42F5F" w:rsidRPr="00916BD7" w:rsidRDefault="00916BD7" w:rsidP="00916BD7">
      <w:pPr>
        <w:pStyle w:val="af3"/>
        <w:widowControl w:val="0"/>
        <w:numPr>
          <w:ilvl w:val="1"/>
          <w:numId w:val="11"/>
        </w:num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w:t>
      </w:r>
      <w:r w:rsidR="00A42F5F" w:rsidRPr="00916BD7">
        <w:rPr>
          <w:rFonts w:ascii="Times New Roman" w:eastAsia="Times New Roman" w:hAnsi="Times New Roman" w:cs="Times New Roman"/>
          <w:sz w:val="24"/>
          <w:szCs w:val="24"/>
          <w:lang w:eastAsia="ru-RU"/>
        </w:rPr>
        <w:t>_____________</w:t>
      </w:r>
      <w:r w:rsidR="00A42F5F" w:rsidRPr="002A4297">
        <w:rPr>
          <w:vertAlign w:val="superscript"/>
          <w:lang w:eastAsia="ru-RU"/>
        </w:rPr>
        <w:footnoteReference w:id="48"/>
      </w:r>
      <w:r w:rsidR="00A42F5F" w:rsidRPr="00916BD7">
        <w:rPr>
          <w:rFonts w:ascii="Times New Roman" w:eastAsia="Times New Roman" w:hAnsi="Times New Roman" w:cs="Times New Roman"/>
          <w:sz w:val="24"/>
          <w:szCs w:val="24"/>
          <w:lang w:eastAsia="ru-RU"/>
        </w:rPr>
        <w:t xml:space="preserve"> (далее – «</w:t>
      </w:r>
      <w:r w:rsidR="00A42F5F" w:rsidRPr="00916BD7">
        <w:rPr>
          <w:rFonts w:ascii="Times New Roman" w:eastAsia="Times New Roman" w:hAnsi="Times New Roman" w:cs="Times New Roman"/>
          <w:b/>
          <w:sz w:val="24"/>
          <w:szCs w:val="24"/>
          <w:lang w:eastAsia="ru-RU"/>
        </w:rPr>
        <w:t>Объект</w:t>
      </w:r>
      <w:r w:rsidR="00A42F5F" w:rsidRPr="00916BD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0"/>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w:t>
      </w:r>
    </w:p>
    <w:p w:rsidR="00A42F5F" w:rsidRPr="002A4297" w:rsidRDefault="00916BD7" w:rsidP="00A42F5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A42F5F"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916BD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r w:rsidR="00916BD7">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916BD7">
              <w:rPr>
                <w:rFonts w:ascii="Times New Roman" w:eastAsia="Times New Roman" w:hAnsi="Times New Roman" w:cs="Times New Roman"/>
                <w:sz w:val="24"/>
                <w:szCs w:val="24"/>
                <w:lang w:eastAsia="ru-RU"/>
              </w:rPr>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4"/>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916BD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r w:rsidRPr="00A32147">
        <w:rPr>
          <w:rFonts w:ascii="Times New Roman" w:hAnsi="Times New Roman"/>
          <w:vertAlign w:val="superscript"/>
        </w:rPr>
        <w:footnoteReference w:id="55"/>
      </w:r>
      <w:r w:rsidRPr="002A4297">
        <w:rPr>
          <w:rFonts w:ascii="Times New Roman" w:eastAsia="Times New Roman" w:hAnsi="Times New Roman" w:cs="Times New Roman"/>
          <w:sz w:val="24"/>
          <w:szCs w:val="24"/>
          <w:lang w:eastAsia="ru-RU"/>
        </w:rPr>
        <w:t>:</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xml:space="preserve"> </w:t>
      </w:r>
      <w:r w:rsidR="00916BD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_________.</w:t>
      </w:r>
    </w:p>
    <w:p w:rsidR="00A42F5F" w:rsidRPr="00916BD7" w:rsidRDefault="00A42F5F" w:rsidP="00916BD7">
      <w:pPr>
        <w:pStyle w:val="af3"/>
        <w:widowControl w:val="0"/>
        <w:numPr>
          <w:ilvl w:val="0"/>
          <w:numId w:val="11"/>
        </w:numPr>
        <w:autoSpaceDE w:val="0"/>
        <w:autoSpaceDN w:val="0"/>
        <w:adjustRightInd w:val="0"/>
        <w:snapToGrid w:val="0"/>
        <w:spacing w:after="0" w:line="240" w:lineRule="auto"/>
        <w:ind w:firstLine="349"/>
        <w:jc w:val="both"/>
        <w:rPr>
          <w:rFonts w:ascii="Times New Roman" w:eastAsia="Times New Roman" w:hAnsi="Times New Roman" w:cs="Times New Roman"/>
          <w:sz w:val="24"/>
          <w:szCs w:val="24"/>
          <w:lang w:eastAsia="ru-RU"/>
        </w:rPr>
      </w:pPr>
      <w:r w:rsidRPr="00916BD7">
        <w:rPr>
          <w:rFonts w:ascii="Times New Roman" w:eastAsia="Times New Roman" w:hAnsi="Times New Roman" w:cs="Times New Roman"/>
          <w:sz w:val="24"/>
          <w:szCs w:val="24"/>
          <w:lang w:eastAsia="ru-RU"/>
        </w:rPr>
        <w:t xml:space="preserve">Одновременно с </w:t>
      </w:r>
      <w:r w:rsidR="00916BD7">
        <w:rPr>
          <w:rFonts w:ascii="Times New Roman" w:eastAsia="Times New Roman" w:hAnsi="Times New Roman" w:cs="Times New Roman"/>
          <w:sz w:val="24"/>
          <w:szCs w:val="24"/>
          <w:lang w:eastAsia="ru-RU"/>
        </w:rPr>
        <w:t xml:space="preserve">Объектом </w:t>
      </w:r>
      <w:r w:rsidRPr="00916BD7">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r>
    </w:tbl>
    <w:p w:rsidR="00A42F5F" w:rsidRPr="00A32147" w:rsidRDefault="00A42F5F" w:rsidP="00A42F5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A42F5F" w:rsidRPr="00E11832" w:rsidRDefault="00A42F5F" w:rsidP="00A42F5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pacing w:after="200" w:line="276" w:lineRule="auto"/>
        <w:ind w:left="360"/>
        <w:rPr>
          <w:rFonts w:ascii="Times New Roman" w:eastAsia="Times New Roman" w:hAnsi="Times New Roman" w:cs="Times New Roman"/>
          <w:b/>
          <w:sz w:val="24"/>
          <w:szCs w:val="24"/>
          <w:lang w:eastAsia="ru-RU"/>
        </w:rPr>
      </w:pPr>
    </w:p>
    <w:p w:rsidR="00A42F5F" w:rsidRPr="002A4297" w:rsidRDefault="00A42F5F" w:rsidP="00A42F5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A42F5F" w:rsidRPr="002A4297" w:rsidRDefault="00A42F5F" w:rsidP="00A42F5F">
      <w:pPr>
        <w:spacing w:after="0" w:line="240" w:lineRule="auto"/>
        <w:contextualSpacing/>
        <w:jc w:val="both"/>
        <w:rPr>
          <w:rFonts w:ascii="Times New Roman" w:eastAsia="Calibri" w:hAnsi="Times New Roman" w:cs="Times New Roman"/>
          <w:sz w:val="24"/>
          <w:szCs w:val="24"/>
          <w:lang w:eastAsia="ru-RU"/>
        </w:rPr>
      </w:pP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42F5F" w:rsidRPr="001E0678" w:rsidRDefault="00A42F5F" w:rsidP="00A42F5F">
      <w:pPr>
        <w:autoSpaceDE w:val="0"/>
        <w:autoSpaceDN w:val="0"/>
        <w:spacing w:after="0" w:line="240" w:lineRule="auto"/>
        <w:rPr>
          <w:rFonts w:ascii="Times New Roman" w:eastAsia="Times New Roman" w:hAnsi="Times New Roman" w:cs="Times New Roman"/>
          <w:sz w:val="24"/>
          <w:szCs w:val="24"/>
          <w:lang w:eastAsia="ru-RU"/>
        </w:rPr>
      </w:pPr>
    </w:p>
    <w:p w:rsidR="00A42F5F" w:rsidRPr="001E0678" w:rsidRDefault="00A42F5F" w:rsidP="00A42F5F">
      <w:pPr>
        <w:autoSpaceDE w:val="0"/>
        <w:autoSpaceDN w:val="0"/>
        <w:spacing w:after="0" w:line="240" w:lineRule="auto"/>
        <w:jc w:val="both"/>
        <w:rPr>
          <w:rFonts w:ascii="Times New Roman" w:eastAsia="Times New Roman" w:hAnsi="Times New Roman" w:cs="Times New Roman"/>
          <w:iCs/>
          <w:sz w:val="24"/>
          <w:szCs w:val="24"/>
          <w:lang w:eastAsia="ru-RU"/>
        </w:rPr>
      </w:pPr>
    </w:p>
    <w:p w:rsidR="00A42F5F" w:rsidRPr="00140C09" w:rsidRDefault="00A42F5F" w:rsidP="00A42F5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A42F5F" w:rsidRPr="002A4297" w:rsidRDefault="00A42F5F" w:rsidP="00A42F5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A32147" w:rsidRDefault="00A42F5F" w:rsidP="00916BD7">
      <w:pPr>
        <w:rPr>
          <w:rFonts w:ascii="Times New Roman" w:hAnsi="Times New Roman"/>
          <w:b/>
          <w:sz w:val="24"/>
        </w:rPr>
      </w:pPr>
    </w:p>
    <w:sectPr w:rsidR="00A42F5F" w:rsidRPr="00A32147" w:rsidSect="00A42F5F">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F5F" w:rsidRDefault="00A42F5F" w:rsidP="00A42F5F">
      <w:pPr>
        <w:spacing w:after="0" w:line="240" w:lineRule="auto"/>
      </w:pPr>
      <w:r>
        <w:separator/>
      </w:r>
    </w:p>
  </w:endnote>
  <w:endnote w:type="continuationSeparator" w:id="0">
    <w:p w:rsidR="00A42F5F" w:rsidRDefault="00A42F5F" w:rsidP="00A4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5F" w:rsidRDefault="00A42F5F" w:rsidP="00A42F5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A40FFAE" wp14:editId="7A9D6FF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42F5F" w:rsidRPr="002E0356" w:rsidRDefault="00A42F5F" w:rsidP="00A42F5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42F5F" w:rsidRPr="002E0356" w:rsidRDefault="00DA511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A42F5F" w:rsidRPr="002E0356">
          <w:rPr>
            <w:rFonts w:ascii="Times New Roman" w:hAnsi="Times New Roman" w:cs="Times New Roman"/>
          </w:rPr>
          <w:fldChar w:fldCharType="begin"/>
        </w:r>
        <w:r w:rsidR="00A42F5F" w:rsidRPr="002E0356">
          <w:rPr>
            <w:rFonts w:ascii="Times New Roman" w:hAnsi="Times New Roman" w:cs="Times New Roman"/>
          </w:rPr>
          <w:instrText>PAGE   \* MERGEFORMAT</w:instrText>
        </w:r>
        <w:r w:rsidR="00A42F5F" w:rsidRPr="002E0356">
          <w:rPr>
            <w:rFonts w:ascii="Times New Roman" w:hAnsi="Times New Roman" w:cs="Times New Roman"/>
          </w:rPr>
          <w:fldChar w:fldCharType="separate"/>
        </w:r>
        <w:r>
          <w:rPr>
            <w:rFonts w:ascii="Times New Roman" w:hAnsi="Times New Roman" w:cs="Times New Roman"/>
            <w:noProof/>
          </w:rPr>
          <w:t>3</w:t>
        </w:r>
        <w:r w:rsidR="00A42F5F" w:rsidRPr="002E0356">
          <w:rPr>
            <w:rFonts w:ascii="Times New Roman" w:hAnsi="Times New Roman" w:cs="Times New Roman"/>
          </w:rPr>
          <w:fldChar w:fldCharType="end"/>
        </w:r>
      </w:sdtContent>
    </w:sdt>
  </w:p>
  <w:p w:rsidR="00A42F5F" w:rsidRPr="00A32147" w:rsidRDefault="00A42F5F" w:rsidP="00A42F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5F" w:rsidRPr="00684B5A" w:rsidRDefault="00A42F5F" w:rsidP="00A42F5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42F5F" w:rsidRDefault="00A42F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F5F" w:rsidRDefault="00A42F5F" w:rsidP="00A42F5F">
      <w:pPr>
        <w:spacing w:after="0" w:line="240" w:lineRule="auto"/>
      </w:pPr>
      <w:r>
        <w:separator/>
      </w:r>
    </w:p>
  </w:footnote>
  <w:footnote w:type="continuationSeparator" w:id="0">
    <w:p w:rsidR="00A42F5F" w:rsidRDefault="00A42F5F" w:rsidP="00A42F5F">
      <w:pPr>
        <w:spacing w:after="0" w:line="240" w:lineRule="auto"/>
      </w:pPr>
      <w:r>
        <w:continuationSeparator/>
      </w:r>
    </w:p>
  </w:footnote>
  <w:footnote w:id="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w:t>
      </w:r>
      <w:r w:rsidR="00DA5118">
        <w:rPr>
          <w:rFonts w:ascii="Times New Roman" w:hAnsi="Times New Roman"/>
        </w:rPr>
        <w:t>2</w:t>
      </w:r>
      <w:r w:rsidRPr="001026CE">
        <w:rPr>
          <w:rFonts w:ascii="Times New Roman" w:hAnsi="Times New Roman"/>
        </w:rPr>
        <w:t xml:space="preserve"> %),» исключить.</w:t>
      </w:r>
    </w:p>
  </w:footnote>
  <w:footnote w:id="1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Слова «(оставшейся части в размере ________ (____________) ________, включая НДС (2</w:t>
      </w:r>
      <w:r w:rsidR="00DA5118">
        <w:rPr>
          <w:rFonts w:ascii="Times New Roman" w:hAnsi="Times New Roman"/>
        </w:rPr>
        <w:t>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2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2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Слова «(оставшейся части в размере ________ (____________) ________, включая НДС (2</w:t>
      </w:r>
      <w:r w:rsidR="00DA5118">
        <w:rPr>
          <w:rFonts w:ascii="Times New Roman" w:hAnsi="Times New Roman"/>
        </w:rPr>
        <w:t>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2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2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2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9">
    <w:p w:rsidR="00A42F5F" w:rsidRPr="001026CE" w:rsidRDefault="00A42F5F" w:rsidP="00A42F5F">
      <w:pPr>
        <w:pStyle w:val="a9"/>
        <w:jc w:val="both"/>
        <w:rPr>
          <w:rFonts w:ascii="Times New Roman" w:hAnsi="Times New Roman"/>
        </w:rPr>
      </w:pPr>
    </w:p>
  </w:footnote>
  <w:footnote w:id="30">
    <w:p w:rsidR="00A42F5F" w:rsidRPr="001026CE" w:rsidRDefault="00A42F5F" w:rsidP="00A42F5F">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3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7">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4">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3">
    <w:p w:rsidR="00A42F5F" w:rsidRPr="001026CE" w:rsidRDefault="00A42F5F" w:rsidP="00A42F5F">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5">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8">
    <w:p w:rsidR="00A42F5F" w:rsidRPr="001026CE" w:rsidRDefault="00A42F5F" w:rsidP="00A42F5F">
      <w:pPr>
        <w:pStyle w:val="a9"/>
        <w:jc w:val="both"/>
        <w:rPr>
          <w:rFonts w:ascii="Times New Roman" w:hAnsi="Times New Roman"/>
        </w:rPr>
      </w:pPr>
    </w:p>
  </w:footnote>
  <w:footnote w:id="6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7B52663"/>
    <w:multiLevelType w:val="multilevel"/>
    <w:tmpl w:val="E006FF1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4">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5F"/>
    <w:rsid w:val="00343488"/>
    <w:rsid w:val="00526057"/>
    <w:rsid w:val="00606A9F"/>
    <w:rsid w:val="00916BD7"/>
    <w:rsid w:val="00930A8B"/>
    <w:rsid w:val="00A42F5F"/>
    <w:rsid w:val="00A63C3C"/>
    <w:rsid w:val="00B82BD9"/>
    <w:rsid w:val="00C631C3"/>
    <w:rsid w:val="00D95CFA"/>
    <w:rsid w:val="00DA5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F5F"/>
  </w:style>
  <w:style w:type="paragraph" w:styleId="10">
    <w:name w:val="heading 1"/>
    <w:basedOn w:val="a1"/>
    <w:next w:val="a1"/>
    <w:link w:val="11"/>
    <w:uiPriority w:val="9"/>
    <w:qFormat/>
    <w:rsid w:val="00A42F5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2F5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2F5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2F5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2F5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2F5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A42F5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2F5F"/>
  </w:style>
  <w:style w:type="paragraph" w:styleId="a7">
    <w:name w:val="footer"/>
    <w:basedOn w:val="a1"/>
    <w:link w:val="a8"/>
    <w:uiPriority w:val="99"/>
    <w:unhideWhenUsed/>
    <w:rsid w:val="00A42F5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2F5F"/>
  </w:style>
  <w:style w:type="paragraph" w:customStyle="1" w:styleId="51">
    <w:name w:val="Заголовок 51"/>
    <w:basedOn w:val="a1"/>
    <w:next w:val="a1"/>
    <w:uiPriority w:val="9"/>
    <w:semiHidden/>
    <w:unhideWhenUsed/>
    <w:qFormat/>
    <w:rsid w:val="00A42F5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A42F5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2F5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2F5F"/>
    <w:rPr>
      <w:rFonts w:ascii="Calibri" w:eastAsia="Times New Roman" w:hAnsi="Calibri" w:cs="Times New Roman"/>
      <w:sz w:val="20"/>
      <w:szCs w:val="20"/>
    </w:rPr>
  </w:style>
  <w:style w:type="paragraph" w:styleId="ab">
    <w:name w:val="annotation text"/>
    <w:basedOn w:val="a1"/>
    <w:link w:val="ac"/>
    <w:uiPriority w:val="99"/>
    <w:unhideWhenUsed/>
    <w:rsid w:val="00A42F5F"/>
    <w:pPr>
      <w:spacing w:after="200" w:line="240" w:lineRule="auto"/>
    </w:pPr>
    <w:rPr>
      <w:sz w:val="20"/>
      <w:szCs w:val="20"/>
    </w:rPr>
  </w:style>
  <w:style w:type="character" w:customStyle="1" w:styleId="ac">
    <w:name w:val="Текст примечания Знак"/>
    <w:basedOn w:val="a2"/>
    <w:link w:val="ab"/>
    <w:uiPriority w:val="99"/>
    <w:rsid w:val="00A42F5F"/>
    <w:rPr>
      <w:sz w:val="20"/>
      <w:szCs w:val="20"/>
    </w:rPr>
  </w:style>
  <w:style w:type="paragraph" w:styleId="ad">
    <w:name w:val="Body Text"/>
    <w:basedOn w:val="a1"/>
    <w:link w:val="ae"/>
    <w:uiPriority w:val="99"/>
    <w:unhideWhenUsed/>
    <w:rsid w:val="00A42F5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2F5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2F5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2F5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2F5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2F5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A42F5F"/>
    <w:pPr>
      <w:spacing w:after="200" w:line="276" w:lineRule="auto"/>
      <w:ind w:left="720"/>
      <w:contextualSpacing/>
    </w:pPr>
  </w:style>
  <w:style w:type="paragraph" w:customStyle="1" w:styleId="13">
    <w:name w:val="Обычный1"/>
    <w:uiPriority w:val="99"/>
    <w:rsid w:val="00A42F5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2F5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2F5F"/>
    <w:rPr>
      <w:rFonts w:ascii="Times New Roman" w:hAnsi="Times New Roman" w:cs="Times New Roman" w:hint="default"/>
      <w:vertAlign w:val="superscript"/>
    </w:rPr>
  </w:style>
  <w:style w:type="character" w:customStyle="1" w:styleId="FontStyle36">
    <w:name w:val="Font Style36"/>
    <w:uiPriority w:val="99"/>
    <w:rsid w:val="00A42F5F"/>
    <w:rPr>
      <w:rFonts w:ascii="Times New Roman" w:hAnsi="Times New Roman" w:cs="Times New Roman" w:hint="default"/>
      <w:sz w:val="20"/>
      <w:szCs w:val="20"/>
    </w:rPr>
  </w:style>
  <w:style w:type="paragraph" w:styleId="af6">
    <w:name w:val="Balloon Text"/>
    <w:basedOn w:val="a1"/>
    <w:link w:val="af7"/>
    <w:uiPriority w:val="99"/>
    <w:semiHidden/>
    <w:unhideWhenUsed/>
    <w:rsid w:val="00A42F5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2F5F"/>
    <w:rPr>
      <w:rFonts w:ascii="Tahoma" w:hAnsi="Tahoma" w:cs="Tahoma"/>
      <w:sz w:val="16"/>
      <w:szCs w:val="16"/>
    </w:rPr>
  </w:style>
  <w:style w:type="paragraph" w:styleId="af8">
    <w:name w:val="endnote text"/>
    <w:basedOn w:val="a1"/>
    <w:link w:val="af9"/>
    <w:uiPriority w:val="99"/>
    <w:semiHidden/>
    <w:unhideWhenUsed/>
    <w:rsid w:val="00A42F5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2F5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2F5F"/>
    <w:rPr>
      <w:vertAlign w:val="superscript"/>
    </w:rPr>
  </w:style>
  <w:style w:type="paragraph" w:styleId="20">
    <w:name w:val="Body Text Indent 2"/>
    <w:basedOn w:val="a1"/>
    <w:link w:val="21"/>
    <w:uiPriority w:val="99"/>
    <w:semiHidden/>
    <w:unhideWhenUsed/>
    <w:rsid w:val="00A42F5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2F5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2F5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2F5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2F5F"/>
    <w:rPr>
      <w:sz w:val="16"/>
      <w:szCs w:val="16"/>
    </w:rPr>
  </w:style>
  <w:style w:type="paragraph" w:styleId="afc">
    <w:name w:val="annotation subject"/>
    <w:basedOn w:val="ab"/>
    <w:next w:val="ab"/>
    <w:link w:val="afd"/>
    <w:uiPriority w:val="99"/>
    <w:semiHidden/>
    <w:unhideWhenUsed/>
    <w:rsid w:val="00A42F5F"/>
    <w:rPr>
      <w:b/>
      <w:bCs/>
      <w:lang w:eastAsia="ru-RU"/>
    </w:rPr>
  </w:style>
  <w:style w:type="character" w:customStyle="1" w:styleId="afd">
    <w:name w:val="Тема примечания Знак"/>
    <w:basedOn w:val="ac"/>
    <w:link w:val="afc"/>
    <w:uiPriority w:val="99"/>
    <w:semiHidden/>
    <w:rsid w:val="00A42F5F"/>
    <w:rPr>
      <w:b/>
      <w:bCs/>
      <w:sz w:val="20"/>
      <w:szCs w:val="20"/>
      <w:lang w:eastAsia="ru-RU"/>
    </w:rPr>
  </w:style>
  <w:style w:type="paragraph" w:styleId="afe">
    <w:name w:val="Revision"/>
    <w:hidden/>
    <w:uiPriority w:val="99"/>
    <w:semiHidden/>
    <w:rsid w:val="00A42F5F"/>
    <w:pPr>
      <w:spacing w:after="0" w:line="240" w:lineRule="auto"/>
    </w:pPr>
  </w:style>
  <w:style w:type="paragraph" w:customStyle="1" w:styleId="14">
    <w:name w:val="Абзац списка1"/>
    <w:basedOn w:val="a1"/>
    <w:rsid w:val="00A42F5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2F5F"/>
    <w:rPr>
      <w:vanish w:val="0"/>
      <w:webHidden w:val="0"/>
      <w:specVanish w:val="0"/>
    </w:rPr>
  </w:style>
  <w:style w:type="character" w:styleId="aff">
    <w:name w:val="Hyperlink"/>
    <w:uiPriority w:val="99"/>
    <w:unhideWhenUsed/>
    <w:rsid w:val="00A42F5F"/>
    <w:rPr>
      <w:color w:val="0000FF"/>
      <w:u w:val="single"/>
    </w:rPr>
  </w:style>
  <w:style w:type="paragraph" w:styleId="HTML">
    <w:name w:val="HTML Preformatted"/>
    <w:basedOn w:val="a1"/>
    <w:link w:val="HTML0"/>
    <w:uiPriority w:val="99"/>
    <w:unhideWhenUsed/>
    <w:rsid w:val="00A4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2F5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2F5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2F5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2F5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A42F5F"/>
  </w:style>
  <w:style w:type="character" w:customStyle="1" w:styleId="FontStyle16">
    <w:name w:val="Font Style16"/>
    <w:rsid w:val="00A42F5F"/>
    <w:rPr>
      <w:rFonts w:ascii="Times New Roman" w:hAnsi="Times New Roman" w:cs="Times New Roman" w:hint="default"/>
    </w:rPr>
  </w:style>
  <w:style w:type="paragraph" w:customStyle="1" w:styleId="aff0">
    <w:name w:val="Îáû÷íûé"/>
    <w:basedOn w:val="a1"/>
    <w:rsid w:val="00A42F5F"/>
    <w:pPr>
      <w:spacing w:after="0" w:line="240" w:lineRule="auto"/>
      <w:jc w:val="both"/>
    </w:pPr>
    <w:rPr>
      <w:rFonts w:ascii="Arial" w:hAnsi="Arial" w:cs="Arial"/>
      <w:sz w:val="24"/>
      <w:szCs w:val="24"/>
    </w:rPr>
  </w:style>
  <w:style w:type="table" w:styleId="aff1">
    <w:name w:val="Table Grid"/>
    <w:basedOn w:val="a3"/>
    <w:uiPriority w:val="59"/>
    <w:rsid w:val="00A42F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2F5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2F5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2F5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2F5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2F5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2F5F"/>
    <w:pPr>
      <w:spacing w:after="200" w:line="276" w:lineRule="auto"/>
      <w:ind w:left="283" w:hanging="283"/>
      <w:contextualSpacing/>
    </w:pPr>
  </w:style>
  <w:style w:type="table" w:customStyle="1" w:styleId="18">
    <w:name w:val="Сетка таблицы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2F5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2F5F"/>
    <w:pPr>
      <w:spacing w:after="200" w:line="276" w:lineRule="auto"/>
      <w:ind w:left="283" w:hanging="283"/>
      <w:contextualSpacing/>
    </w:pPr>
  </w:style>
  <w:style w:type="character" w:styleId="aff4">
    <w:name w:val="Subtle Emphasis"/>
    <w:basedOn w:val="a2"/>
    <w:uiPriority w:val="19"/>
    <w:qFormat/>
    <w:rsid w:val="00A42F5F"/>
    <w:rPr>
      <w:i/>
      <w:iCs/>
      <w:color w:val="404040" w:themeColor="text1" w:themeTint="BF"/>
    </w:rPr>
  </w:style>
  <w:style w:type="paragraph" w:customStyle="1" w:styleId="111">
    <w:name w:val="Заголовок 11"/>
    <w:basedOn w:val="a1"/>
    <w:next w:val="a1"/>
    <w:uiPriority w:val="9"/>
    <w:qFormat/>
    <w:rsid w:val="00A42F5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42F5F"/>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F5F"/>
  </w:style>
  <w:style w:type="paragraph" w:styleId="10">
    <w:name w:val="heading 1"/>
    <w:basedOn w:val="a1"/>
    <w:next w:val="a1"/>
    <w:link w:val="11"/>
    <w:uiPriority w:val="9"/>
    <w:qFormat/>
    <w:rsid w:val="00A42F5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2F5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2F5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2F5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2F5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2F5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A42F5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2F5F"/>
  </w:style>
  <w:style w:type="paragraph" w:styleId="a7">
    <w:name w:val="footer"/>
    <w:basedOn w:val="a1"/>
    <w:link w:val="a8"/>
    <w:uiPriority w:val="99"/>
    <w:unhideWhenUsed/>
    <w:rsid w:val="00A42F5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2F5F"/>
  </w:style>
  <w:style w:type="paragraph" w:customStyle="1" w:styleId="51">
    <w:name w:val="Заголовок 51"/>
    <w:basedOn w:val="a1"/>
    <w:next w:val="a1"/>
    <w:uiPriority w:val="9"/>
    <w:semiHidden/>
    <w:unhideWhenUsed/>
    <w:qFormat/>
    <w:rsid w:val="00A42F5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A42F5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2F5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2F5F"/>
    <w:rPr>
      <w:rFonts w:ascii="Calibri" w:eastAsia="Times New Roman" w:hAnsi="Calibri" w:cs="Times New Roman"/>
      <w:sz w:val="20"/>
      <w:szCs w:val="20"/>
    </w:rPr>
  </w:style>
  <w:style w:type="paragraph" w:styleId="ab">
    <w:name w:val="annotation text"/>
    <w:basedOn w:val="a1"/>
    <w:link w:val="ac"/>
    <w:uiPriority w:val="99"/>
    <w:unhideWhenUsed/>
    <w:rsid w:val="00A42F5F"/>
    <w:pPr>
      <w:spacing w:after="200" w:line="240" w:lineRule="auto"/>
    </w:pPr>
    <w:rPr>
      <w:sz w:val="20"/>
      <w:szCs w:val="20"/>
    </w:rPr>
  </w:style>
  <w:style w:type="character" w:customStyle="1" w:styleId="ac">
    <w:name w:val="Текст примечания Знак"/>
    <w:basedOn w:val="a2"/>
    <w:link w:val="ab"/>
    <w:uiPriority w:val="99"/>
    <w:rsid w:val="00A42F5F"/>
    <w:rPr>
      <w:sz w:val="20"/>
      <w:szCs w:val="20"/>
    </w:rPr>
  </w:style>
  <w:style w:type="paragraph" w:styleId="ad">
    <w:name w:val="Body Text"/>
    <w:basedOn w:val="a1"/>
    <w:link w:val="ae"/>
    <w:uiPriority w:val="99"/>
    <w:unhideWhenUsed/>
    <w:rsid w:val="00A42F5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2F5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2F5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2F5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2F5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2F5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A42F5F"/>
    <w:pPr>
      <w:spacing w:after="200" w:line="276" w:lineRule="auto"/>
      <w:ind w:left="720"/>
      <w:contextualSpacing/>
    </w:pPr>
  </w:style>
  <w:style w:type="paragraph" w:customStyle="1" w:styleId="13">
    <w:name w:val="Обычный1"/>
    <w:uiPriority w:val="99"/>
    <w:rsid w:val="00A42F5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2F5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2F5F"/>
    <w:rPr>
      <w:rFonts w:ascii="Times New Roman" w:hAnsi="Times New Roman" w:cs="Times New Roman" w:hint="default"/>
      <w:vertAlign w:val="superscript"/>
    </w:rPr>
  </w:style>
  <w:style w:type="character" w:customStyle="1" w:styleId="FontStyle36">
    <w:name w:val="Font Style36"/>
    <w:uiPriority w:val="99"/>
    <w:rsid w:val="00A42F5F"/>
    <w:rPr>
      <w:rFonts w:ascii="Times New Roman" w:hAnsi="Times New Roman" w:cs="Times New Roman" w:hint="default"/>
      <w:sz w:val="20"/>
      <w:szCs w:val="20"/>
    </w:rPr>
  </w:style>
  <w:style w:type="paragraph" w:styleId="af6">
    <w:name w:val="Balloon Text"/>
    <w:basedOn w:val="a1"/>
    <w:link w:val="af7"/>
    <w:uiPriority w:val="99"/>
    <w:semiHidden/>
    <w:unhideWhenUsed/>
    <w:rsid w:val="00A42F5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2F5F"/>
    <w:rPr>
      <w:rFonts w:ascii="Tahoma" w:hAnsi="Tahoma" w:cs="Tahoma"/>
      <w:sz w:val="16"/>
      <w:szCs w:val="16"/>
    </w:rPr>
  </w:style>
  <w:style w:type="paragraph" w:styleId="af8">
    <w:name w:val="endnote text"/>
    <w:basedOn w:val="a1"/>
    <w:link w:val="af9"/>
    <w:uiPriority w:val="99"/>
    <w:semiHidden/>
    <w:unhideWhenUsed/>
    <w:rsid w:val="00A42F5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2F5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2F5F"/>
    <w:rPr>
      <w:vertAlign w:val="superscript"/>
    </w:rPr>
  </w:style>
  <w:style w:type="paragraph" w:styleId="20">
    <w:name w:val="Body Text Indent 2"/>
    <w:basedOn w:val="a1"/>
    <w:link w:val="21"/>
    <w:uiPriority w:val="99"/>
    <w:semiHidden/>
    <w:unhideWhenUsed/>
    <w:rsid w:val="00A42F5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2F5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2F5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2F5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2F5F"/>
    <w:rPr>
      <w:sz w:val="16"/>
      <w:szCs w:val="16"/>
    </w:rPr>
  </w:style>
  <w:style w:type="paragraph" w:styleId="afc">
    <w:name w:val="annotation subject"/>
    <w:basedOn w:val="ab"/>
    <w:next w:val="ab"/>
    <w:link w:val="afd"/>
    <w:uiPriority w:val="99"/>
    <w:semiHidden/>
    <w:unhideWhenUsed/>
    <w:rsid w:val="00A42F5F"/>
    <w:rPr>
      <w:b/>
      <w:bCs/>
      <w:lang w:eastAsia="ru-RU"/>
    </w:rPr>
  </w:style>
  <w:style w:type="character" w:customStyle="1" w:styleId="afd">
    <w:name w:val="Тема примечания Знак"/>
    <w:basedOn w:val="ac"/>
    <w:link w:val="afc"/>
    <w:uiPriority w:val="99"/>
    <w:semiHidden/>
    <w:rsid w:val="00A42F5F"/>
    <w:rPr>
      <w:b/>
      <w:bCs/>
      <w:sz w:val="20"/>
      <w:szCs w:val="20"/>
      <w:lang w:eastAsia="ru-RU"/>
    </w:rPr>
  </w:style>
  <w:style w:type="paragraph" w:styleId="afe">
    <w:name w:val="Revision"/>
    <w:hidden/>
    <w:uiPriority w:val="99"/>
    <w:semiHidden/>
    <w:rsid w:val="00A42F5F"/>
    <w:pPr>
      <w:spacing w:after="0" w:line="240" w:lineRule="auto"/>
    </w:pPr>
  </w:style>
  <w:style w:type="paragraph" w:customStyle="1" w:styleId="14">
    <w:name w:val="Абзац списка1"/>
    <w:basedOn w:val="a1"/>
    <w:rsid w:val="00A42F5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2F5F"/>
    <w:rPr>
      <w:vanish w:val="0"/>
      <w:webHidden w:val="0"/>
      <w:specVanish w:val="0"/>
    </w:rPr>
  </w:style>
  <w:style w:type="character" w:styleId="aff">
    <w:name w:val="Hyperlink"/>
    <w:uiPriority w:val="99"/>
    <w:unhideWhenUsed/>
    <w:rsid w:val="00A42F5F"/>
    <w:rPr>
      <w:color w:val="0000FF"/>
      <w:u w:val="single"/>
    </w:rPr>
  </w:style>
  <w:style w:type="paragraph" w:styleId="HTML">
    <w:name w:val="HTML Preformatted"/>
    <w:basedOn w:val="a1"/>
    <w:link w:val="HTML0"/>
    <w:uiPriority w:val="99"/>
    <w:unhideWhenUsed/>
    <w:rsid w:val="00A4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2F5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2F5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2F5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2F5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A42F5F"/>
  </w:style>
  <w:style w:type="character" w:customStyle="1" w:styleId="FontStyle16">
    <w:name w:val="Font Style16"/>
    <w:rsid w:val="00A42F5F"/>
    <w:rPr>
      <w:rFonts w:ascii="Times New Roman" w:hAnsi="Times New Roman" w:cs="Times New Roman" w:hint="default"/>
    </w:rPr>
  </w:style>
  <w:style w:type="paragraph" w:customStyle="1" w:styleId="aff0">
    <w:name w:val="Îáû÷íûé"/>
    <w:basedOn w:val="a1"/>
    <w:rsid w:val="00A42F5F"/>
    <w:pPr>
      <w:spacing w:after="0" w:line="240" w:lineRule="auto"/>
      <w:jc w:val="both"/>
    </w:pPr>
    <w:rPr>
      <w:rFonts w:ascii="Arial" w:hAnsi="Arial" w:cs="Arial"/>
      <w:sz w:val="24"/>
      <w:szCs w:val="24"/>
    </w:rPr>
  </w:style>
  <w:style w:type="table" w:styleId="aff1">
    <w:name w:val="Table Grid"/>
    <w:basedOn w:val="a3"/>
    <w:uiPriority w:val="59"/>
    <w:rsid w:val="00A42F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2F5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2F5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2F5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2F5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2F5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2F5F"/>
    <w:pPr>
      <w:spacing w:after="200" w:line="276" w:lineRule="auto"/>
      <w:ind w:left="283" w:hanging="283"/>
      <w:contextualSpacing/>
    </w:pPr>
  </w:style>
  <w:style w:type="table" w:customStyle="1" w:styleId="18">
    <w:name w:val="Сетка таблицы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2F5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2F5F"/>
    <w:pPr>
      <w:spacing w:after="200" w:line="276" w:lineRule="auto"/>
      <w:ind w:left="283" w:hanging="283"/>
      <w:contextualSpacing/>
    </w:pPr>
  </w:style>
  <w:style w:type="character" w:styleId="aff4">
    <w:name w:val="Subtle Emphasis"/>
    <w:basedOn w:val="a2"/>
    <w:uiPriority w:val="19"/>
    <w:qFormat/>
    <w:rsid w:val="00A42F5F"/>
    <w:rPr>
      <w:i/>
      <w:iCs/>
      <w:color w:val="404040" w:themeColor="text1" w:themeTint="BF"/>
    </w:rPr>
  </w:style>
  <w:style w:type="paragraph" w:customStyle="1" w:styleId="111">
    <w:name w:val="Заголовок 11"/>
    <w:basedOn w:val="a1"/>
    <w:next w:val="a1"/>
    <w:uiPriority w:val="9"/>
    <w:qFormat/>
    <w:rsid w:val="00A42F5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42F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19</Pages>
  <Words>6147</Words>
  <Characters>35041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Альбина Николаевна</dc:creator>
  <cp:keywords/>
  <dc:description/>
  <cp:lastModifiedBy>Выртосу Надежда Анатольевна</cp:lastModifiedBy>
  <cp:revision>4</cp:revision>
  <dcterms:created xsi:type="dcterms:W3CDTF">2023-12-28T09:05:00Z</dcterms:created>
  <dcterms:modified xsi:type="dcterms:W3CDTF">2026-01-16T07:48:00Z</dcterms:modified>
</cp:coreProperties>
</file>