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FB08000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center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  <w:t xml:space="preserve">ДОГОВОР 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212B5426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center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  <w:t xml:space="preserve">КУПЛИ-ПРОДАЖИ НЕДВИЖИМОГО ИМУЩЕСТВА 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1647E89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 w:before="261"/>
        <w:ind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  <w:t xml:space="preserve">Город _____________________________.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5FB361F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  <w:t xml:space="preserve">____________________________________ две тысячи двадцать шестого года.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7FC32563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center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7C7E382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Мы, 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ОБЩЕСТВО С ОГРАНИЧЕННОЙ ОТВЕТСТВЕННОСТЬЮ________________</w:t>
      </w:r>
      <w:r>
        <w:rPr>
          <w:rFonts w:ascii="Times New Roman" w:hAnsi="Times New Roman" w:eastAsia="Times New Roman"/>
          <w:sz w:val="22"/>
          <w:szCs w:val="22"/>
        </w:rPr>
        <w:t xml:space="preserve">, именуемое в дальнейшем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ПРОДАВЕЦ, с одной стороны,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113E283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b/>
          <w:bCs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  <w:t xml:space="preserve">и ___________________________________</w:t>
      </w:r>
      <w:r>
        <w:rPr>
          <w:rFonts w:ascii="Times New Roman" w:hAnsi="Times New Roman" w:eastAsia="Times New Roman"/>
          <w:sz w:val="22"/>
          <w:szCs w:val="22"/>
        </w:rPr>
        <w:t xml:space="preserve">, именуемое в дальнейшем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ПОКУПАТЕЛЬ, с другой стороны,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 по итогам открытых торгов, согласно Протоколу ______________от _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_._</w:t>
      </w:r>
      <w:r>
        <w:rPr>
          <w:rFonts w:ascii="Times New Roman" w:hAnsi="Times New Roman" w:eastAsia="Times New Roman"/>
          <w:b/>
          <w:bCs/>
          <w:sz w:val="22"/>
          <w:szCs w:val="22"/>
        </w:rPr>
        <w:t xml:space="preserve">_.2026 г.</w:t>
      </w:r>
      <w:r>
        <w:rPr>
          <w:rFonts w:ascii="Times New Roman" w:hAnsi="Times New Roman" w:eastAsia="Times New Roman"/>
          <w:b/>
          <w:bCs/>
          <w:sz w:val="22"/>
          <w:szCs w:val="22"/>
        </w:rPr>
      </w:r>
      <w:r>
        <w:rPr>
          <w:rFonts w:ascii="Times New Roman" w:hAnsi="Times New Roman" w:eastAsia="Times New Roman"/>
          <w:b/>
          <w:bCs/>
          <w:sz w:val="22"/>
          <w:szCs w:val="22"/>
        </w:rPr>
      </w:r>
    </w:p>
    <w:p w14:paraId="189A5274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заключили настоящий договор о нижеследующем: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7359D8A5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</w:rPr>
        <w:t xml:space="preserve">1. ПРОДАВЕЦ обязуется передать ПОКУПАТЕЛЮ в собственность, а ПОКУПАТЕЛЬ обязуется принять и оплатить на условиях, указанных в настоящем договоре,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принадлежащие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ПРОДАВЦУ на праве собственности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недвижимое имущество: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 w14:paraId="58D92E1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1.1.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ЗДАНИЕ</w:t>
      </w:r>
      <w:r>
        <w:rPr>
          <w:rFonts w:ascii="Times New Roman" w:hAnsi="Times New Roman" w:eastAsia="Times New Roman"/>
          <w:sz w:val="22"/>
          <w:szCs w:val="22"/>
        </w:rPr>
        <w:t xml:space="preserve">, _______________________________________.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ECA4E2D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Кадастровый номер: __________________________________.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225C6B3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1.1.1. Отсутствие ограничений (обременений) права, правопритязаний, заявленных в судебном порядке прав тр</w:t>
      </w:r>
      <w:r>
        <w:rPr>
          <w:rFonts w:ascii="Times New Roman" w:hAnsi="Times New Roman" w:eastAsia="Times New Roman"/>
          <w:sz w:val="22"/>
          <w:szCs w:val="22"/>
        </w:rPr>
        <w:t xml:space="preserve">ебования и возражений в отношении зарегистрированного права на вышеуказанное ЗДАНИЕ, подтверждается Выпиской из Единого государственного реестра недвижимости об объекте недвижимости, дата выдачи ____________________. № __________________________________. 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0E449D44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1.1.2. Вышеуказанное ЗДАНИЕ принадлежит ПРОДАВЦУ на праве собственности на основании _______________________________________________________________________________________________.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7952042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1.1.3. Кадастровая стоимость ЗДАНИЯ составляет _____________________ рублей __________ копеек.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F83DB9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08D236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1.2.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ЗЕМЕЛЬНЫЙ УЧАСТОК</w:t>
      </w:r>
      <w:r>
        <w:rPr>
          <w:rFonts w:ascii="Times New Roman" w:hAnsi="Times New Roman" w:eastAsia="Times New Roman"/>
          <w:sz w:val="22"/>
          <w:szCs w:val="22"/>
        </w:rPr>
        <w:t xml:space="preserve">, __________________________________________________________.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194DD13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Кадастровый номер: ______________________________________________________________________.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6F1D887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1.2.1. Обременения ЗЕМЕЛЬНОГО УЧАСТКА  соответствии с</w:t>
      </w:r>
      <w:r>
        <w:rPr>
          <w:rFonts w:ascii="Times New Roman" w:hAnsi="Times New Roman" w:eastAsia="Times New Roman"/>
          <w:sz w:val="22"/>
          <w:szCs w:val="22"/>
        </w:rPr>
        <w:t xml:space="preserve"> Выпиской из Единого государственного реестра недвижимости об объекте недвижимости, дата выдачи ______________: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6EB50D6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-)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Сведения об ограничениях права на объект недвижимости, обременениях данного объекта,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зарегистрированных в реестре прав, ограничений прав и обременений недвижимого имущества: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ab/>
        <w:t xml:space="preserve">вид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ограничения (обременения): прочие ограничения прав и обременения объекта недвижимости; срок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действия не установлен. вид ограничения (обременения): прочие ограничения прав и обременения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объекта недвижимости; срок действия не установлен. вид ограничения (обременения): прочие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ограничения прав и обременения объекта недвижимости; срок действия не установлен. вид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ограничения (обременения): прочие ограничения прав и обременения объекта недвижимости; срок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действия не установлен. вид ограничения (обременения): ограничения прав на земельный участок,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предусмотренные статьей 56 Земельного кодекса Российской Федерации; срок действия: c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28.04.2015; реквизиты документа-основания: постановления Правительства РФ «Об утверждении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правил охраны газораспределительных сетей» от 20.11.2000 № 878 выдан: Правительство РФ. вид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ограничения (обременения): ограничения прав на земельный участок, предусмотренные статьей 56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Земельного кодекса Российской Федерации; срок действия: c 15.05.2015; реквизиты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документа-основания: постановление Правительства РФ «Об утверждении правил охраны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газораспределительных сетей» от 20.11.2000 № 878 выдан: Правительство РФ. вид ограничения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(обременения): ограничения прав на земельный участок, предусмотренные статьей 56 Земельного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кодекса Российской Федерации; срок действия: c 14.06.2016; реквизиты документа-основания: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постановление "О порядке установления охранных зон объектов электросетевого хозяйства и особых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условий использования земельных участков, расположенных в границах таких зон" от 24.02.2009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160 выдан: Правительство РФ. вид ограничения (обременения): ограничения прав на земельный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участок, предусмотренные статьей 56 Земельного кодекса Российской Федерации; срок действия: c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11.09.2018; реквизиты документа-основания: постановление Правительства Республики Башкортостан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"Об утверждении границ зоны охраны объекта культурного наследия регионального значения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«Церковь Спасская», расположенного по адресу: РБ, г.Уфа, ул. Октябрьской революции, 37а,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режимов использования земель и требований к градостроительным регламентам в границах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территории зоны" от 31.07.2018 № 359 выдан: Правительство Республики Башкортостан. вид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ограничения (обременения): ограничения прав на земельный участок, предусмотренные статьей 56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Земельного кодекса Российской Федерации; срок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действия: c 06.02.2023; реквизиты</w:t>
      </w:r>
      <w:r>
        <w:rPr>
          <w:rFonts w:ascii="Times New Roman" w:hAnsi="Times New Roman" w:eastAsia="Times New Roman" w:cs="Times New Roman"/>
          <w:sz w:val="22"/>
          <w:szCs w:val="22"/>
          <w:lang w:eastAsia="hi-I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г.Уфы Республики Башкортостан, 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 w14:paraId="396E7905">
      <w:pPr>
        <w:pStyle w:val="875"/>
        <w:pBdr/>
        <w:spacing/>
        <w:ind w:right="0"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-) Сервитут, срок действия с 04.02.2014 на основании Постановления администрации городского округа город Уфа Республики Башкортостан, № 6612 от 24.12.2013, зарегистрирован </w:t>
      </w:r>
      <w:r>
        <w:rPr>
          <w:sz w:val="22"/>
          <w:szCs w:val="22"/>
        </w:rPr>
        <w:t xml:space="preserve">04.02.2014 , </w:t>
      </w:r>
      <w:r>
        <w:rPr>
          <w:sz w:val="22"/>
          <w:szCs w:val="22"/>
        </w:rPr>
        <w:t xml:space="preserve">номер государственной регистрации: 02-04-01/063/2014-378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 w14:paraId="7AE851F5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/>
          <w:sz w:val="22"/>
          <w:szCs w:val="22"/>
        </w:rPr>
        <w:t xml:space="preserve"> Отсутствие иных ограничений (обременений) права, правопритязаний, заявленных в судебном порядк</w:t>
      </w:r>
      <w:r>
        <w:rPr>
          <w:rFonts w:ascii="Times New Roman" w:hAnsi="Times New Roman" w:eastAsia="Times New Roman"/>
          <w:sz w:val="22"/>
          <w:szCs w:val="22"/>
        </w:rPr>
        <w:t xml:space="preserve">е прав требования и возражений в отношении зарегистрированного права на вышеуказанный ЗЕМЕЛЬНЫЙ УЧАСТОК, подтверждается Выпиской из Единого государственного реестра недвижимости об объекте недвижимости, дата выдачи 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570C767A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1.2.2. Вышеуказанный ЗЕМЕЛЬНЫЙ УЧАСТОК принадлежит ПРОДАВЦУ на </w:t>
      </w:r>
      <w:r>
        <w:rPr>
          <w:rFonts w:ascii="Times New Roman" w:hAnsi="Times New Roman" w:eastAsia="Times New Roman"/>
          <w:sz w:val="22"/>
          <w:szCs w:val="22"/>
        </w:rPr>
        <w:t xml:space="preserve">праве  собственности</w:t>
      </w:r>
      <w:r>
        <w:rPr>
          <w:rFonts w:ascii="Times New Roman" w:hAnsi="Times New Roman" w:eastAsia="Times New Roman"/>
          <w:sz w:val="22"/>
          <w:szCs w:val="22"/>
        </w:rPr>
        <w:t xml:space="preserve"> на основании ______________________________________________________________________________________.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42A1272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1.2.3. Кадастровая стоимость ЗЕМЕЛЬНОГО УЧАСТКА составляет ____________________________.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3A0DF63" w14:textId="16E3CF5D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 ____________________________________________</w:t>
      </w:r>
      <w:r>
        <w:rPr>
          <w:rFonts w:ascii="Times New Roman" w:hAnsi="Times New Roman" w:eastAsia="Times New Roman"/>
          <w:sz w:val="22"/>
          <w:szCs w:val="22"/>
        </w:rPr>
        <w:t xml:space="preserve">_,  НДС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DA6B5E0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F9C3535" w14:textId="31CD2026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2. </w:t>
      </w:r>
      <w:r>
        <w:rPr>
          <w:rFonts w:ascii="Times New Roman" w:hAnsi="Times New Roman" w:eastAsia="Times New Roman"/>
          <w:color w:val="000000" w:themeColor="text1"/>
          <w:sz w:val="22"/>
          <w:szCs w:val="22"/>
        </w:rPr>
        <w:t xml:space="preserve">Покупатель, </w:t>
      </w:r>
      <w:r>
        <w:rPr>
          <w:rFonts w:ascii="Times New Roman" w:hAnsi="Times New Roman" w:eastAsia="Times New Roman"/>
          <w:color w:val="000000" w:themeColor="text1"/>
          <w:sz w:val="22"/>
          <w:szCs w:val="22"/>
        </w:rPr>
        <w:t xml:space="preserve">подписывая настоящий договор заверяет, что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</w:t>
      </w:r>
      <w:r>
        <w:rPr>
          <w:rFonts w:ascii="Times New Roman" w:hAnsi="Times New Roman" w:eastAsia="Times New Roman"/>
          <w:color w:val="000000" w:themeColor="text1"/>
          <w:sz w:val="22"/>
          <w:szCs w:val="22"/>
        </w:rPr>
        <w:t xml:space="preserve">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52281F0" w14:textId="4C2887C2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496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3. Цена отчуждаемых ЗДАНИЯ и ЗЕМЕЛЬНОГО УЧАСТКА установлена в соответствии с Протоколом ______________ от __.__.2026 по лоту №______ и составляет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_______ (__________) рублей 00 копеек в том числе НДС 22%</w:t>
      </w:r>
      <w:r>
        <w:rPr>
          <w:rFonts w:ascii="Times New Roman" w:hAnsi="Times New Roman" w:eastAsia="Times New Roman"/>
          <w:sz w:val="22"/>
          <w:szCs w:val="22"/>
        </w:rPr>
        <w:t xml:space="preserve"> в сумме ______(_____) рублей __копеек, в том числе: </w:t>
      </w:r>
      <w:r>
        <w:rPr>
          <w:rFonts w:ascii="Times New Roman" w:hAnsi="Times New Roman" w:eastAsia="Times New Roman"/>
          <w:sz w:val="22"/>
          <w:szCs w:val="22"/>
        </w:rPr>
        <w:tab/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7DFA902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496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- цена ЗДАНИЯ составляет __</w:t>
      </w:r>
      <w:r>
        <w:rPr>
          <w:rFonts w:ascii="Times New Roman" w:hAnsi="Times New Roman" w:eastAsia="Times New Roman"/>
          <w:sz w:val="22"/>
          <w:szCs w:val="22"/>
        </w:rPr>
        <w:t xml:space="preserve">_(</w:t>
      </w:r>
      <w:r>
        <w:rPr>
          <w:rFonts w:ascii="Times New Roman" w:hAnsi="Times New Roman" w:eastAsia="Times New Roman"/>
          <w:sz w:val="22"/>
          <w:szCs w:val="22"/>
        </w:rPr>
        <w:t xml:space="preserve">___) рублей __ копеек, в том числе НДС 22%;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A637CE1" w14:textId="77777777">
      <w:pPr>
        <w:pStyle w:val="911"/>
        <w:pBdr/>
        <w:tabs>
          <w:tab w:val="left" w:leader="none" w:pos="709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496"/>
        </w:tabs>
        <w:spacing/>
        <w:ind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ab/>
        <w:t xml:space="preserve">-цена ЗЕМЕЛЬНОГО УЧАСТКА составляет __</w:t>
      </w:r>
      <w:r>
        <w:rPr>
          <w:rFonts w:ascii="Times New Roman" w:hAnsi="Times New Roman" w:eastAsia="Times New Roman"/>
          <w:sz w:val="22"/>
          <w:szCs w:val="22"/>
        </w:rPr>
        <w:t xml:space="preserve">_(</w:t>
      </w:r>
      <w:r>
        <w:rPr>
          <w:rFonts w:ascii="Times New Roman" w:hAnsi="Times New Roman" w:eastAsia="Times New Roman"/>
          <w:sz w:val="22"/>
          <w:szCs w:val="22"/>
        </w:rPr>
        <w:t xml:space="preserve">___) рублей __ копеек, НДС не облагается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65BAA4B2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Цена является окончательной и изменению не подлежит.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44D1C27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 Сумма задатка в размере _________ (____________) рублей 00 копеек, внесенная ПОКУПАТЕЛЕМ на расчетный счет _______________________ для участия в торгах по продаже недвижимого имущества засчитывается в счёт оплаты приобретаемого по настоящему Договору </w:t>
      </w:r>
      <w:r>
        <w:rPr>
          <w:rFonts w:ascii="Times New Roman" w:hAnsi="Times New Roman" w:eastAsia="Times New Roman"/>
          <w:sz w:val="22"/>
          <w:szCs w:val="22"/>
        </w:rPr>
        <w:t xml:space="preserve">недвижимого имущества.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D3DD5B0" w14:textId="47EA8AE2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ПОКУПАТЕЛЬ обязуется в течение 5 (</w:t>
      </w:r>
      <w:r>
        <w:rPr>
          <w:rFonts w:ascii="Times New Roman" w:hAnsi="Times New Roman" w:eastAsia="Times New Roman"/>
          <w:sz w:val="22"/>
          <w:szCs w:val="22"/>
        </w:rPr>
        <w:t xml:space="preserve">пяти)  рабочих</w:t>
      </w:r>
      <w:r>
        <w:rPr>
          <w:rFonts w:ascii="Times New Roman" w:hAnsi="Times New Roman" w:eastAsia="Times New Roman"/>
          <w:sz w:val="22"/>
          <w:szCs w:val="22"/>
        </w:rPr>
        <w:t xml:space="preserve"> дней с даты подписания настоящего Договора оплатить ос</w:t>
      </w:r>
      <w:r>
        <w:rPr>
          <w:rFonts w:ascii="Times New Roman" w:hAnsi="Times New Roman" w:eastAsia="Times New Roman"/>
          <w:sz w:val="22"/>
          <w:szCs w:val="22"/>
        </w:rPr>
        <w:t xml:space="preserve">тавшуюся часть цены продажи недвижимого имущества, равную цене продажи недвижимого имущества, указанной в п. 2 настоящего Договора, уменьшенной на размер задатка, внесенного ПОКУПАТЕЛЕМ. Оплата оставшейся части цены продажи недвижимого имущества в размере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__________ (__________________) </w:t>
      </w:r>
      <w:r>
        <w:rPr>
          <w:rFonts w:ascii="Times New Roman" w:hAnsi="Times New Roman" w:eastAsia="Times New Roman"/>
          <w:sz w:val="22"/>
          <w:szCs w:val="22"/>
        </w:rPr>
        <w:t xml:space="preserve">рублей 00 копеек, осуществляется ПОКУПАТЕЛЕМ путем перечисления денежных средств на расчетный счет ПРОДАВЦА, указанный в настоящем Договоре.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83BB2C1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Соглашение о цене </w:t>
      </w:r>
      <w:r>
        <w:rPr>
          <w:rFonts w:ascii="Times New Roman" w:hAnsi="Times New Roman" w:eastAsia="Times New Roman"/>
          <w:sz w:val="22"/>
          <w:szCs w:val="22"/>
        </w:rPr>
        <w:t xml:space="preserve">является существенным условием настоящего договора и, в случае сокрытия ими подлинной цены нежилого строения и истинных намерений, СТОРОНЫ самостоятельно несут риск признания сделки недействительной, а также риск наступления иных отрицательных последствий.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3635B22" w14:textId="20B688AC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4. По соглашению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СТОРОН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5ABFA60" w14:textId="1A24D1A9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4.1.  В соответствии с п. 5 ст. 488 Гражданского кодекса Российской Федерации, у ПРОДАВЦА право залога на отчуждаемые объекты недвижимого имущества не возникает.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1B0F23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4.2. Отказ от исполнения ПОКУПАТЕЛЕМ условий настоящего Договора в соответствии с п.4 ст. 486 ГК РФ влечет возникновение у ПРОДАВЦА права по своему выбору требовать оплаты, либо отказаться от исполнения договора.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C4A054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4.3. Нарушение ПОКУПАТЕЛЕМ сроков оплаты за отчуждаемые объекты недвижимого</w:t>
      </w:r>
      <w:r>
        <w:rPr>
          <w:rFonts w:ascii="Times New Roman" w:hAnsi="Times New Roman" w:eastAsia="Times New Roman"/>
          <w:sz w:val="22"/>
          <w:szCs w:val="22"/>
        </w:rPr>
        <w:t xml:space="preserve"> имущества влечет возникновение у ПРОДАВЦА на основании п.3 ст. 486 ГК РФ права потребовать его оплаты, а также уплаты процентов в соответствии со ст. 395 ГК РФ со дня, когда объекты недвижимого имущества должны быть оплачены, до дня их фактической оплаты.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EBA071B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5. Денежные обязательства ПОКУПАТЕЛЯ считаются исполненными со дня поступления в полном объеме денежных средств в размере общей стоимости Объектов на расчетный счет ПРОДАВЦА.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1AF7020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6. Расходы, связанные с государственной регистрацией перехода права собственности на недвижимое имущество по настоящему договору, несет ПОКУПАТЕЛЬ.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626D42E1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7. Продавец обязуется передать Покупателю имущество, указанное в настоящем договоре, после осуществления государственной регистрации перехода к Покупателю права собственности на недвижимое имущество, указанное в пунктах 1.1 - 1.2 настоящего договора.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4ABA7FA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8. Срок передачи имущества составляет 3 (три) рабочих дня после поступления денежных средств в сумме ________________________ рубля _________ копейки на расчетный счет ПРОДАВЦА.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857ED6D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9. Передача имущества осуществляется СТОРОНАМИ по передаточному акту произвольной формы, в котором указывается полный перечень передаваемого имущества, его описание и характеристики, позволяющие установить соответствие передаваемого имущ</w:t>
      </w:r>
      <w:r>
        <w:rPr>
          <w:rFonts w:ascii="Times New Roman" w:hAnsi="Times New Roman" w:eastAsia="Times New Roman"/>
          <w:sz w:val="22"/>
          <w:szCs w:val="22"/>
        </w:rPr>
        <w:t xml:space="preserve">ества условиям настоящего договора. Обязанность по составлению передаточного акта в двух экземплярах относится на ПРОДАВЦА. В передаточном акте СТОРОНЫ вправе изложить свои замечания в отношении передаваемого имущества и исполнения договорных обязательств.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003C2CA4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10. После подписания СТОРОНАМИ передаточного акта обязанность ПРОДАВЦА передать имущество ПОКУПАТЕЛЮ признается исполненной.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F895257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11. В случае уклонения </w:t>
      </w:r>
      <w:r>
        <w:rPr>
          <w:rFonts w:ascii="Times New Roman" w:hAnsi="Times New Roman" w:eastAsia="Times New Roman"/>
          <w:sz w:val="22"/>
          <w:szCs w:val="22"/>
        </w:rPr>
        <w:t xml:space="preserve">ПРОДАВЦа</w:t>
      </w:r>
      <w:r>
        <w:rPr>
          <w:rFonts w:ascii="Times New Roman" w:hAnsi="Times New Roman" w:eastAsia="Times New Roman"/>
          <w:sz w:val="22"/>
          <w:szCs w:val="22"/>
        </w:rPr>
        <w:t xml:space="preserve"> от передачи имущества, а равно от подписания передаточного акта ПОКУПАТЕЛЬ вправе требовать уплаты штрафной неустойки в размере 0,1 % от суммы, уплаченной ПОКУПАТЕЛЕМ за имущество, за каждый день просрочки исполнения обязательства передать имущество.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7228A760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12. В случае уклонения ПОКУПАТЕЛЯ от приёмки имущества, а равно от подписания передаточного акта ПРОДАВЕЦ вправе потребовать полного возмещения убытков, связанных с содержанием имущества за всё время просрочки исполнения обязательства принять имущество.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CA9F8F3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 В соответствии со </w:t>
      </w:r>
      <w:r>
        <w:rPr>
          <w:rFonts w:ascii="Times New Roman" w:hAnsi="Times New Roman" w:eastAsia="Times New Roman"/>
          <w:sz w:val="22"/>
          <w:szCs w:val="22"/>
        </w:rPr>
        <w:t xml:space="preserve">cт</w:t>
      </w:r>
      <w:r>
        <w:rPr>
          <w:rFonts w:ascii="Times New Roman" w:hAnsi="Times New Roman" w:eastAsia="Times New Roman"/>
          <w:sz w:val="22"/>
          <w:szCs w:val="22"/>
        </w:rPr>
        <w:t xml:space="preserve">. 431.2. (Заверение об обстоятельствах) Гражданского кодекса Российской Федерации, в соответствии с которой сторона, которая при заключении договора либо до или после его заключения дала друг</w:t>
      </w:r>
      <w:r>
        <w:rPr>
          <w:rFonts w:ascii="Times New Roman" w:hAnsi="Times New Roman" w:eastAsia="Times New Roman"/>
          <w:sz w:val="22"/>
          <w:szCs w:val="22"/>
        </w:rPr>
        <w:t xml:space="preserve">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</w:t>
      </w:r>
      <w:r>
        <w:rPr>
          <w:rFonts w:ascii="Times New Roman" w:hAnsi="Times New Roman" w:eastAsia="Times New Roman"/>
          <w:sz w:val="22"/>
          <w:szCs w:val="22"/>
        </w:rPr>
        <w:t xml:space="preserve">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ПРОДАВЕЦ и ПОКУПАТЕЛЬ заверяют о нижеследующем: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FC04B7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13.1.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</w:t>
      </w:r>
      <w:r>
        <w:rPr>
          <w:rFonts w:ascii="Times New Roman" w:hAnsi="Times New Roman" w:eastAsia="Times New Roman"/>
          <w:sz w:val="22"/>
          <w:szCs w:val="22"/>
        </w:rPr>
        <w:t xml:space="preserve">органами управления СТОРОНЫ, требующееся в соответствии с законодательством Российской Федерации и учредительными документами СТОРОНЫ.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F1C9948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13.2. СТОРОНЫ дают заверения, что сделка не является сделкой, совершенной под влиянием обмана, насилия, угрозы или неблагоприятных обстоятельств.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73132B4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13.3. СТОРОНЫ да</w:t>
      </w:r>
      <w:r>
        <w:rPr>
          <w:rFonts w:ascii="Times New Roman" w:hAnsi="Times New Roman" w:eastAsia="Times New Roman"/>
          <w:sz w:val="22"/>
          <w:szCs w:val="22"/>
        </w:rPr>
        <w:t xml:space="preserve">ют заверения, что на момент заключения и подписания настоящего Договора не являются лицами, причастными к экстремистской деятельности или терроризму и (или) включёнными в соответствующий перечень, формируемый Федеральной службой по финансовому мониторингу.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572EB2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13.4. ПРОДАВЕЦ дает заверения, что до заключения и подписания настоящего Договора отчуждаемые объек</w:t>
      </w:r>
      <w:r>
        <w:rPr>
          <w:rFonts w:ascii="Times New Roman" w:hAnsi="Times New Roman" w:eastAsia="Times New Roman"/>
          <w:sz w:val="22"/>
          <w:szCs w:val="22"/>
        </w:rPr>
        <w:t xml:space="preserve">ты недвижимого имущества никому другому не проданы, не подарены, не заложены, не обещаны в дар, в споре и под арестом (запрещением) не состоят, в отношении них не заключены сделки с третьими лицами, которые бы привели к их отчуждению, не являются предметом</w:t>
      </w:r>
      <w:r>
        <w:rPr>
          <w:rFonts w:ascii="Times New Roman" w:hAnsi="Times New Roman" w:eastAsia="Times New Roman"/>
          <w:sz w:val="22"/>
          <w:szCs w:val="22"/>
        </w:rPr>
        <w:t xml:space="preserve"> опциона на заключение договора, опционного договора, залога, спора, предварительного договора отчуждения, ограничения, свободен от любых прав третьих лиц, претензий и притязаний, рентой, арендой, наймом или какими-либо иными обязательствами не обременены.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4B4D146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В случае возникновения вопросов, связанных с нарушением прав третьих лиц, ПРОДАВЕЦ берет на себя обязательство самостоятельного урегулирования возникших споров.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7CD3F8D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13.5. СТОРОНЫ дают заверения, что до заключения и подписания настоящего Договора ими не был заключен предварительный договор на иных условиях.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80BC4E3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13.6. СТОРОНЫ дают заверения, что не имеют долгов и/или любых иных неисполненных обязательств, к</w:t>
      </w:r>
      <w:r>
        <w:rPr>
          <w:rFonts w:ascii="Times New Roman" w:hAnsi="Times New Roman" w:eastAsia="Times New Roman"/>
          <w:sz w:val="22"/>
          <w:szCs w:val="22"/>
        </w:rPr>
        <w:t xml:space="preserve">оторые могут повлечь их банкротство, что им не известно о кредиторах, которые могут обратиться в суд с иском о признании банкротом, что они сами не планируют обращаться в суд с иском о признании себя банкротами, и что на момент заключения настоящего Догово</w:t>
      </w:r>
      <w:r>
        <w:rPr>
          <w:rFonts w:ascii="Times New Roman" w:hAnsi="Times New Roman" w:eastAsia="Times New Roman"/>
          <w:sz w:val="22"/>
          <w:szCs w:val="22"/>
        </w:rPr>
        <w:t xml:space="preserve">ра в отношении них отсутствуют признаки неплатежеспособности и/или недостаточности имущества в понимании терминов ФЗ "О несостоятельности (банкротстве)", не ведется дело о банкротстве, в отношении них не предвидится банкротство, они не признаны банкротами.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68D08F0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СТОРОНЫ дают</w:t>
      </w:r>
      <w:r>
        <w:rPr>
          <w:rFonts w:ascii="Times New Roman" w:hAnsi="Times New Roman" w:eastAsia="Times New Roman"/>
          <w:sz w:val="22"/>
          <w:szCs w:val="22"/>
        </w:rPr>
        <w:t xml:space="preserve"> заверения что Общества с ограниченной ответственностью не находятся в процессе реорганизации, ликвидации, в отношении них не введена процедура банкротства, деятельность их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B9CBC2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13.7. СТОРОНАМ разъяснено, что</w:t>
      </w:r>
      <w:r>
        <w:rPr>
          <w:rFonts w:ascii="Times New Roman" w:hAnsi="Times New Roman" w:eastAsia="Times New Roman"/>
          <w:sz w:val="22"/>
          <w:szCs w:val="22"/>
        </w:rPr>
        <w:t xml:space="preserve"> если настоящий Договор заключен в целях причинения вреда имущественным правам кредиторов, то он может быть признан арбитражным судом недействительным, если такой Договор был совершен в течение трех лет до принятия заявления о признании должника банкротом.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6EBCDC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13.8. СТОРОНАМ разъяснено о возможности оспаривания уполномоченными лицами совершённых сделок, в том числе при наличии возбуждённого исполнительного производства или дела о банкротстве.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F425DC7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13.9. ПРОДАВЕЦ дает заверения, что он не имеет задолженностей по налогам и сборам на отчуждаемые объекты недвижимого имущества и коммунальным платежам.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70147940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13.10. СТОРОНЫ согласовали вопросы, связанные с расчетами по коммунальным услугам и</w:t>
      </w:r>
      <w:r>
        <w:rPr>
          <w:rFonts w:ascii="Times New Roman" w:hAnsi="Times New Roman" w:eastAsia="Times New Roman"/>
          <w:sz w:val="22"/>
          <w:szCs w:val="22"/>
        </w:rPr>
        <w:t xml:space="preserve"> плате за электроэнергию и иным платежам в отношении отчуждаемого объекта недвижимого имущества, и не имеют в этой связи взаимных претензий, в случае возникновения споров СТОРОНЫ берут на себя обязательство самостоятельного урегулирования указанного спора.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C7C83E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13.11. ПРОДАВЕЦ дает заверения ПОКУПАТЕЛЮ, чт</w:t>
      </w:r>
      <w:r>
        <w:rPr>
          <w:rFonts w:ascii="Times New Roman" w:hAnsi="Times New Roman" w:eastAsia="Times New Roman"/>
          <w:sz w:val="22"/>
          <w:szCs w:val="22"/>
        </w:rPr>
        <w:t xml:space="preserve">о в случае обнаружения задолженности по налогам и платежам за коммунальные услуги в отношении отчуждаемого объекта недвижимого имущества ПРОДАВЕЦ обязуется оплатить (погасить) такую задолженность в течение 3 (трёх) дней с момента обнаружения задолженности.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FDD5EA2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13.12. ПРОДАВЕЦ д</w:t>
      </w:r>
      <w:r>
        <w:rPr>
          <w:rFonts w:ascii="Times New Roman" w:hAnsi="Times New Roman" w:eastAsia="Times New Roman"/>
          <w:sz w:val="22"/>
          <w:szCs w:val="22"/>
        </w:rPr>
        <w:t xml:space="preserve">ает заверения с момента заключения и подписания настоящего Договора не ухудшать состояния отчуждаемых объектов недвижимого имущества, не сдавать их в аренду, наём, не передавать в безвозмездное пользование, не обременять имущественными правами третьих лиц.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A84304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13.13. ПРОДАВЕЦ заверяет ПОКУПА</w:t>
      </w:r>
      <w:r>
        <w:rPr>
          <w:rFonts w:ascii="Times New Roman" w:hAnsi="Times New Roman" w:eastAsia="Times New Roman"/>
          <w:sz w:val="22"/>
          <w:szCs w:val="22"/>
        </w:rPr>
        <w:t xml:space="preserve">ТЕЛЯ, что предоставил ему полную информацию об обременениях объектов недвижимого имущества и ограничениях его использования в соответствии с разрешенным использованием, иную информацию, требования о предоставлении которой установлены федеральными законами.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C3D4CA5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13.14. ПОКУПАТЕЛЬ заверяет ПРОДАВЦА, что до заключе</w:t>
      </w:r>
      <w:r>
        <w:rPr>
          <w:rFonts w:ascii="Times New Roman" w:hAnsi="Times New Roman" w:eastAsia="Times New Roman"/>
          <w:sz w:val="22"/>
          <w:szCs w:val="22"/>
        </w:rPr>
        <w:t xml:space="preserve">ния настоящего договора осмотрел отчуждаемое имущество, считает его соответствующим условиям настоящего договора и готов принять его в том состоянии, в котором оно существует на момент заключения настоящего договора, с учетом имеющегося физического износа;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76B20D8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13.15. СТОРОНЫ заверяют, что лица, подписавшие настоящий договор, уполномочены </w:t>
      </w:r>
      <w:r>
        <w:rPr>
          <w:rFonts w:ascii="Times New Roman" w:hAnsi="Times New Roman" w:eastAsia="Times New Roman"/>
          <w:sz w:val="22"/>
          <w:szCs w:val="22"/>
        </w:rPr>
        <w:t xml:space="preserve">представлять Покупателя и</w:t>
      </w:r>
      <w:r>
        <w:rPr>
          <w:rFonts w:ascii="Times New Roman" w:hAnsi="Times New Roman" w:eastAsia="Times New Roman"/>
          <w:sz w:val="22"/>
          <w:szCs w:val="22"/>
        </w:rPr>
        <w:t xml:space="preserve"> Продавца при совершении настоящей сделки и заключать настоящий договор от их имени. Все разрешения, согласия, одобрения и полномочия, необходимые для заключения и исполнения настоящего договора, получены надлежащим образом в установленном законом порядке;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7BE386F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14. СТОРОНЫ действуют в соответствии с положениями п. 3,4 ст. 1 ГК РФ, согласно которым "при установ</w:t>
      </w:r>
      <w:r>
        <w:rPr>
          <w:rFonts w:ascii="Times New Roman" w:hAnsi="Times New Roman" w:eastAsia="Times New Roman"/>
          <w:sz w:val="22"/>
          <w:szCs w:val="22"/>
        </w:rPr>
        <w:t xml:space="preserve">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добросовестно". "Никто не вправе извлекать преимущество из своего незаконного или недобросовестного поведения".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787B0F2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15. СТОРОНЫ предупреждены о правовых последствиях пункта 2 статьи 170 Гражданского кодекса Российской Федерации, согласно которому «Притвор</w:t>
      </w:r>
      <w:r>
        <w:rPr>
          <w:rFonts w:ascii="Times New Roman" w:hAnsi="Times New Roman" w:eastAsia="Times New Roman"/>
          <w:sz w:val="22"/>
          <w:szCs w:val="22"/>
        </w:rPr>
        <w:t xml:space="preserve">ная сделка, то есть сделка, которая совершена с целью прикрыть другую сделку, в том числе сделку на иных условиях, ничтожна. К сделке, которую стороны действительно имели в виду, с учетом существа и содержания сделки применяются относящиеся к ней правила».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B9C1DB7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i/>
          <w:sz w:val="22"/>
          <w:szCs w:val="22"/>
        </w:rPr>
      </w:pPr>
      <w:r>
        <w:rPr>
          <w:rFonts w:ascii="Times New Roman" w:hAnsi="Times New Roman" w:eastAsia="Times New Roman"/>
          <w:i/>
          <w:sz w:val="22"/>
          <w:szCs w:val="22"/>
        </w:rPr>
        <w:t xml:space="preserve">16. Содержание статей 1 (основные начала гражданского законодательства), 10 (пределы осуществления гражданских прав), 166 (оспоримые и ничтожные сделки), 131 (государственная регистраци</w:t>
      </w:r>
      <w:r>
        <w:rPr>
          <w:rFonts w:ascii="Times New Roman" w:hAnsi="Times New Roman" w:eastAsia="Times New Roman"/>
          <w:i/>
          <w:sz w:val="22"/>
          <w:szCs w:val="22"/>
        </w:rPr>
        <w:t xml:space="preserve">я недвижимости), 164 (государственная регистрация сделок), 167 (общие положения о последствиях недействительности сделки), 168 (недействительность сделки, нарушающей требования закона или иного правового акта), 169 (недействительность сделки, совершенной с</w:t>
      </w:r>
      <w:r>
        <w:rPr>
          <w:rFonts w:ascii="Times New Roman" w:hAnsi="Times New Roman" w:eastAsia="Times New Roman"/>
          <w:i/>
          <w:sz w:val="22"/>
          <w:szCs w:val="22"/>
        </w:rPr>
        <w:t xml:space="preserve"> целью, противной основам правопорядка или нравственности), 170 (недействительность мнимой и притворной сделок), 171 (недействительность сделки, совершенной гражданином, признанным недееспособным), 173.1. (недействительность сделки, совершенной без необход</w:t>
      </w:r>
      <w:r>
        <w:rPr>
          <w:rFonts w:ascii="Times New Roman" w:hAnsi="Times New Roman" w:eastAsia="Times New Roman"/>
          <w:i/>
          <w:sz w:val="22"/>
          <w:szCs w:val="22"/>
        </w:rPr>
        <w:t xml:space="preserve">имого в силу закона согласия третьего лица, органа юридического лица или государственного органа либо органа местного самоуправления), 174.1. (последствия совершения сделки в отношении имущества, распоряжение которым запрещено или ограничено), 176 (недейст</w:t>
      </w:r>
      <w:r>
        <w:rPr>
          <w:rFonts w:ascii="Times New Roman" w:hAnsi="Times New Roman" w:eastAsia="Times New Roman"/>
          <w:i/>
          <w:sz w:val="22"/>
          <w:szCs w:val="22"/>
        </w:rPr>
        <w:t xml:space="preserve">вительность сделки, совершенной гражданином, ограниченным судом в дееспособности), 177 (недействительность сделки, совершенной гражданином, не способным понимать значение своих действий или руководить ими), 178 (недействительность сделки, совершенной под в</w:t>
      </w:r>
      <w:r>
        <w:rPr>
          <w:rFonts w:ascii="Times New Roman" w:hAnsi="Times New Roman" w:eastAsia="Times New Roman"/>
          <w:i/>
          <w:sz w:val="22"/>
          <w:szCs w:val="22"/>
        </w:rPr>
        <w:t xml:space="preserve">лиянием существенного заблуждения), 179 (недействительность сделки, совершенной под влиянием обмана, насилия, угрозы или неблагоприятных обстоятельств), 180 (последствия недействительности части сделки), 181 (сроки исковой давности по недействительным сдел</w:t>
      </w:r>
      <w:r>
        <w:rPr>
          <w:rFonts w:ascii="Times New Roman" w:hAnsi="Times New Roman" w:eastAsia="Times New Roman"/>
          <w:i/>
          <w:sz w:val="22"/>
          <w:szCs w:val="22"/>
        </w:rPr>
        <w:t xml:space="preserve">кам), 209 (содержание права собственности), 223 (момент возникновения права собственности у приобретателя по договору), 395 (ответственность за неисполнение денежного обязательства), 421 (свобода договора), 429 (предварительный договор), 431.2 "Заверения о</w:t>
      </w:r>
      <w:r>
        <w:rPr>
          <w:rFonts w:ascii="Times New Roman" w:hAnsi="Times New Roman" w:eastAsia="Times New Roman"/>
          <w:i/>
          <w:sz w:val="22"/>
          <w:szCs w:val="22"/>
        </w:rPr>
        <w:t xml:space="preserve">б обстоятельствах", 460 (обязанность продавца передать товар свободным от прав третьих лиц), 461 (ответственность продавца в случае изъятия товара у покупателя), 486 (оплата товара), 551 (государственная регистрация перехода права собственности на недвижим</w:t>
      </w:r>
      <w:r>
        <w:rPr>
          <w:rFonts w:ascii="Times New Roman" w:hAnsi="Times New Roman" w:eastAsia="Times New Roman"/>
          <w:i/>
          <w:sz w:val="22"/>
          <w:szCs w:val="22"/>
        </w:rPr>
        <w:t xml:space="preserve">ость), 555 (цена в договоре продажи недвижимости), 556 (передача недвижимости), 557 (последствия передачи недвижимости ненадлежащего качества), Гражданского кодекса Российской Федерации, статей 35 (переход права на земельный участок при переходе права собс</w:t>
      </w:r>
      <w:r>
        <w:rPr>
          <w:rFonts w:ascii="Times New Roman" w:hAnsi="Times New Roman" w:eastAsia="Times New Roman"/>
          <w:i/>
          <w:sz w:val="22"/>
          <w:szCs w:val="22"/>
        </w:rPr>
        <w:t xml:space="preserve">твенности на здание, сооружение), 39.20. (особенности предоставления земельного участка, находящегося в государственной или муниципальной собственности, на котором расположены здание, сооружение) Земельного кодекса Российской Федерации СТОРОНАМ разъяснено.</w:t>
      </w:r>
      <w:r>
        <w:rPr>
          <w:rFonts w:ascii="Times New Roman" w:hAnsi="Times New Roman" w:eastAsia="Times New Roman"/>
          <w:i/>
          <w:sz w:val="22"/>
          <w:szCs w:val="22"/>
        </w:rPr>
      </w:r>
      <w:r>
        <w:rPr>
          <w:rFonts w:ascii="Times New Roman" w:hAnsi="Times New Roman" w:eastAsia="Times New Roman"/>
          <w:i/>
          <w:sz w:val="22"/>
          <w:szCs w:val="22"/>
        </w:rPr>
      </w:r>
    </w:p>
    <w:p w14:paraId="6F2CBB3C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17. После возникновения права собственности собственник несет обязанности по уплате налогов на недвижимость и содержанию отчуждаемого объекта недвижимого имущества в соответствии с его назначением.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217F11F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18. ПОКУПАТЕЛЬ несет риск случайной гибели и случайного повреждения отчуждаемых объектов недвижимого имущества с момента исполнения ПРОДАВЦОМ обязанности по передаче отчуждаемых объектов недвижимого имущества.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0B8A03B6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19. В соответствии п. 2 ст. 8.1 Гражданского кодекса Российской Федерации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8BD219A" w14:textId="28236E4F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Не позднее </w:t>
      </w:r>
      <w:r>
        <w:rPr>
          <w:rFonts w:ascii="Times New Roman" w:hAnsi="Times New Roman" w:eastAsia="Times New Roman"/>
          <w:sz w:val="22"/>
          <w:szCs w:val="22"/>
        </w:rPr>
        <w:t xml:space="preserve">5 (пяти) </w:t>
      </w:r>
      <w:r>
        <w:rPr>
          <w:rFonts w:ascii="Times New Roman" w:hAnsi="Times New Roman" w:eastAsia="Times New Roman"/>
          <w:sz w:val="22"/>
          <w:szCs w:val="22"/>
        </w:rPr>
        <w:t xml:space="preserve">рабочих дней с момента вы</w:t>
      </w:r>
      <w:r>
        <w:rPr>
          <w:rFonts w:ascii="Times New Roman" w:hAnsi="Times New Roman" w:eastAsia="Times New Roman"/>
          <w:sz w:val="22"/>
          <w:szCs w:val="22"/>
        </w:rPr>
        <w:t xml:space="preserve">полнения ПОКУПАТЕЛЕМ обязанности по оплате цены недвижимого имущества в полном объеме, СТОРОНЫ совместно обязуются  осуществить действия, необходимые для государственной регистрации перехода права собственности на недвижимое имущество от ПРОДАВЦА к ПОКУПАТ</w:t>
      </w:r>
      <w:r>
        <w:rPr>
          <w:rFonts w:ascii="Times New Roman" w:hAnsi="Times New Roman" w:eastAsia="Times New Roman"/>
          <w:sz w:val="22"/>
          <w:szCs w:val="22"/>
        </w:rPr>
        <w:t xml:space="preserve">ЕЛЮ, обратиться совместно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недвижимое имущество.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ABEEB8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20. Настоящий Договор вступает в силу с даты подписания СТОРОНАМИ настоящего Договора.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295EB166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21. В дальнейшем какие-либо изменения и дополнения в настоящий Договор могут быть внесены в любое время по взаимному согласию СТОРОН, и оформлены в письменной форме.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30C86C99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22. Разногласия, по которым СТОРОНЫ не достигнут договоренности, подлежат рассмотрению в суде в порядке, установленном действующим законодательством Российской Федерации.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3FAFB8E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23. Настоящий Договор содержит весь объем соглашений между СТОРОНАМИ в </w:t>
      </w:r>
      <w:r>
        <w:rPr>
          <w:rFonts w:ascii="Times New Roman" w:hAnsi="Times New Roman" w:eastAsia="Times New Roman"/>
          <w:sz w:val="22"/>
          <w:szCs w:val="22"/>
        </w:rPr>
        <w:t xml:space="preserve">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и подписания настоящего Договора.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1E91457D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24. Настоящий Договор составлен в двух экземплярах, по одному экземпляру - для каждого участника сделки.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46238A27" w14:textId="77777777">
      <w:pPr>
        <w:pStyle w:val="91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5C77C76B" w14:textId="77777777">
      <w:pPr>
        <w:pStyle w:val="911"/>
        <w:keepNext w:val="true"/>
        <w:keepLines w:val="true"/>
        <w:pBdr/>
        <w:tabs>
          <w:tab w:val="right" w:leader="none" w:pos="9071"/>
          <w:tab w:val="left" w:leader="none" w:pos="9350"/>
          <w:tab w:val="left" w:leader="none" w:pos="10200"/>
          <w:tab w:val="left" w:leader="none" w:pos="11050"/>
          <w:tab w:val="left" w:leader="none" w:pos="11900"/>
          <w:tab w:val="left" w:leader="none" w:pos="12750"/>
          <w:tab w:val="left" w:leader="none" w:pos="13600"/>
          <w:tab w:val="left" w:leader="none" w:pos="14450"/>
          <w:tab w:val="left" w:leader="none" w:pos="15300"/>
          <w:tab w:val="left" w:leader="none" w:pos="16150"/>
          <w:tab w:val="left" w:leader="none" w:pos="17000"/>
          <w:tab w:val="left" w:leader="none" w:pos="17850"/>
          <w:tab w:val="left" w:leader="none" w:pos="18700"/>
          <w:tab w:val="left" w:leader="none" w:pos="19550"/>
        </w:tabs>
        <w:spacing w:before="510"/>
        <w:ind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i/>
          <w:sz w:val="22"/>
          <w:szCs w:val="22"/>
        </w:rPr>
        <w:t xml:space="preserve">продавец</w:t>
      </w:r>
      <w:r>
        <w:rPr>
          <w:rFonts w:ascii="Times New Roman" w:hAnsi="Times New Roman" w:eastAsia="Times New Roman"/>
          <w:sz w:val="22"/>
          <w:szCs w:val="22"/>
        </w:rPr>
        <w:tab/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 w14:paraId="7A2A381F" w14:textId="77777777">
      <w:pPr>
        <w:pStyle w:val="911"/>
        <w:keepNext w:val="true"/>
        <w:keepLines w:val="true"/>
        <w:pBdr/>
        <w:tabs>
          <w:tab w:val="right" w:leader="none" w:pos="9071"/>
          <w:tab w:val="left" w:leader="none" w:pos="9350"/>
          <w:tab w:val="left" w:leader="none" w:pos="10200"/>
          <w:tab w:val="left" w:leader="none" w:pos="11050"/>
          <w:tab w:val="left" w:leader="none" w:pos="11900"/>
          <w:tab w:val="left" w:leader="none" w:pos="12750"/>
          <w:tab w:val="left" w:leader="none" w:pos="13600"/>
          <w:tab w:val="left" w:leader="none" w:pos="14450"/>
          <w:tab w:val="left" w:leader="none" w:pos="15300"/>
          <w:tab w:val="left" w:leader="none" w:pos="16150"/>
          <w:tab w:val="left" w:leader="none" w:pos="17000"/>
          <w:tab w:val="left" w:leader="none" w:pos="17850"/>
          <w:tab w:val="left" w:leader="none" w:pos="18700"/>
          <w:tab w:val="left" w:leader="none" w:pos="19550"/>
        </w:tabs>
        <w:spacing w:before="510"/>
        <w:ind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i/>
          <w:sz w:val="22"/>
          <w:szCs w:val="22"/>
        </w:rPr>
        <w:t xml:space="preserve">покупатель</w:t>
      </w:r>
      <w:r>
        <w:rPr>
          <w:rFonts w:ascii="Times New Roman" w:hAnsi="Times New Roman" w:eastAsia="Times New Roman"/>
          <w:sz w:val="22"/>
          <w:szCs w:val="22"/>
        </w:rPr>
        <w:tab/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709" w:right="850" w:bottom="850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75EE61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982842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4E299C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2B58797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1D112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pBdr/>
      <w:spacing/>
      <w:ind/>
    </w:pPr>
    <w:rPr>
      <w:lang w:eastAsia="ru-RU"/>
    </w:rPr>
  </w:style>
  <w:style w:type="paragraph" w:styleId="705">
    <w:name w:val="Heading 1"/>
    <w:basedOn w:val="704"/>
    <w:next w:val="704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6">
    <w:name w:val="Heading 2"/>
    <w:basedOn w:val="704"/>
    <w:next w:val="704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07">
    <w:name w:val="Heading 3"/>
    <w:basedOn w:val="704"/>
    <w:next w:val="704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08">
    <w:name w:val="Heading 4"/>
    <w:basedOn w:val="704"/>
    <w:next w:val="704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9">
    <w:name w:val="Heading 5"/>
    <w:basedOn w:val="704"/>
    <w:next w:val="704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0">
    <w:name w:val="Heading 6"/>
    <w:basedOn w:val="704"/>
    <w:next w:val="704"/>
    <w:link w:val="86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1">
    <w:name w:val="Heading 7"/>
    <w:basedOn w:val="704"/>
    <w:next w:val="704"/>
    <w:link w:val="86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2">
    <w:name w:val="Heading 8"/>
    <w:basedOn w:val="704"/>
    <w:next w:val="704"/>
    <w:link w:val="86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3">
    <w:name w:val="Heading 9"/>
    <w:basedOn w:val="704"/>
    <w:next w:val="704"/>
    <w:link w:val="86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8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19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0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1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2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customStyle="1">
    <w:name w:val="Title Char"/>
    <w:basedOn w:val="7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 w:customStyle="1">
    <w:name w:val="Subtitle Char"/>
    <w:basedOn w:val="7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 w:customStyle="1">
    <w:name w:val="Quote Char"/>
    <w:basedOn w:val="7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9" w:customStyle="1">
    <w:name w:val="Intense Quote Char"/>
    <w:basedOn w:val="71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0" w:customStyle="1">
    <w:name w:val="Header Char"/>
    <w:basedOn w:val="714"/>
    <w:uiPriority w:val="99"/>
    <w:pPr>
      <w:pBdr/>
      <w:spacing/>
      <w:ind/>
    </w:pPr>
  </w:style>
  <w:style w:type="character" w:styleId="731" w:customStyle="1">
    <w:name w:val="Footer Char"/>
    <w:basedOn w:val="714"/>
    <w:uiPriority w:val="99"/>
    <w:pPr>
      <w:pBdr/>
      <w:spacing/>
      <w:ind/>
    </w:pPr>
  </w:style>
  <w:style w:type="character" w:styleId="732" w:customStyle="1">
    <w:name w:val="Foot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33" w:customStyle="1">
    <w:name w:val="End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table" w:styleId="734">
    <w:name w:val="Table Grid"/>
    <w:basedOn w:val="71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Table Grid Light"/>
    <w:basedOn w:val="7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1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1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2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3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4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5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6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1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2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3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4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5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6"/>
    <w:basedOn w:val="71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1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2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3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4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5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6"/>
    <w:basedOn w:val="71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1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2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3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4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5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6"/>
    <w:basedOn w:val="7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1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2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3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4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5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6"/>
    <w:basedOn w:val="71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1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2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3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4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5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6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1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2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3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4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5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6"/>
    <w:basedOn w:val="71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1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2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3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4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5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6"/>
    <w:basedOn w:val="71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1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2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3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4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5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704"/>
    <w:next w:val="704"/>
    <w:link w:val="87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 w:customStyle="1">
    <w:name w:val="Заголовок Знак"/>
    <w:basedOn w:val="714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704"/>
    <w:next w:val="704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 w:customStyle="1">
    <w:name w:val="Подзаголовок Знак"/>
    <w:basedOn w:val="714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704"/>
    <w:next w:val="704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 w:customStyle="1">
    <w:name w:val="Цитата 2 Знак"/>
    <w:basedOn w:val="714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5">
    <w:name w:val="List Paragraph"/>
    <w:basedOn w:val="704"/>
    <w:uiPriority w:val="34"/>
    <w:qFormat/>
    <w:pPr>
      <w:pBdr/>
      <w:spacing/>
      <w:ind w:left="720"/>
      <w:contextualSpacing w:val="true"/>
    </w:pPr>
  </w:style>
  <w:style w:type="character" w:styleId="876">
    <w:name w:val="Intense Emphasis"/>
    <w:basedOn w:val="71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7">
    <w:name w:val="Intense Quote"/>
    <w:basedOn w:val="704"/>
    <w:next w:val="704"/>
    <w:link w:val="87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8" w:customStyle="1">
    <w:name w:val="Выделенная цитата Знак"/>
    <w:basedOn w:val="714"/>
    <w:link w:val="87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9">
    <w:name w:val="Intense Reference"/>
    <w:basedOn w:val="71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0">
    <w:name w:val="No Spacing"/>
    <w:basedOn w:val="704"/>
    <w:uiPriority w:val="1"/>
    <w:qFormat/>
    <w:pPr>
      <w:pBdr/>
      <w:spacing/>
      <w:ind/>
    </w:pPr>
  </w:style>
  <w:style w:type="character" w:styleId="881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6">
    <w:name w:val="Header"/>
    <w:basedOn w:val="704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7" w:customStyle="1">
    <w:name w:val="Верхний колонтитул Знак"/>
    <w:basedOn w:val="714"/>
    <w:link w:val="886"/>
    <w:uiPriority w:val="99"/>
    <w:pPr>
      <w:pBdr/>
      <w:spacing/>
      <w:ind/>
    </w:pPr>
  </w:style>
  <w:style w:type="paragraph" w:styleId="888">
    <w:name w:val="Footer"/>
    <w:basedOn w:val="704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9" w:customStyle="1">
    <w:name w:val="Нижний колонтитул Знак"/>
    <w:basedOn w:val="714"/>
    <w:link w:val="888"/>
    <w:uiPriority w:val="99"/>
    <w:pPr>
      <w:pBdr/>
      <w:spacing/>
      <w:ind/>
    </w:pPr>
  </w:style>
  <w:style w:type="paragraph" w:styleId="890">
    <w:name w:val="Caption"/>
    <w:basedOn w:val="704"/>
    <w:next w:val="70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91">
    <w:name w:val="footnote text"/>
    <w:basedOn w:val="704"/>
    <w:link w:val="892"/>
    <w:uiPriority w:val="99"/>
    <w:semiHidden/>
    <w:unhideWhenUsed/>
    <w:pPr>
      <w:pBdr/>
      <w:spacing/>
      <w:ind/>
    </w:pPr>
  </w:style>
  <w:style w:type="character" w:styleId="892" w:customStyle="1">
    <w:name w:val="Текст сноски Знак"/>
    <w:basedOn w:val="714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704"/>
    <w:link w:val="895"/>
    <w:uiPriority w:val="99"/>
    <w:semiHidden/>
    <w:unhideWhenUsed/>
    <w:pPr>
      <w:pBdr/>
      <w:spacing/>
      <w:ind/>
    </w:pPr>
  </w:style>
  <w:style w:type="character" w:styleId="895" w:customStyle="1">
    <w:name w:val="Текст концевой сноски Знак"/>
    <w:basedOn w:val="714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71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8">
    <w:name w:val="FollowedHyperlink"/>
    <w:basedOn w:val="71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9">
    <w:name w:val="toc 1"/>
    <w:basedOn w:val="704"/>
    <w:next w:val="704"/>
    <w:uiPriority w:val="39"/>
    <w:unhideWhenUsed/>
    <w:pPr>
      <w:pBdr/>
      <w:spacing w:after="100"/>
      <w:ind/>
    </w:pPr>
  </w:style>
  <w:style w:type="paragraph" w:styleId="900">
    <w:name w:val="toc 2"/>
    <w:basedOn w:val="704"/>
    <w:next w:val="704"/>
    <w:uiPriority w:val="39"/>
    <w:unhideWhenUsed/>
    <w:pPr>
      <w:pBdr/>
      <w:spacing w:after="100"/>
      <w:ind w:left="220"/>
    </w:pPr>
  </w:style>
  <w:style w:type="paragraph" w:styleId="901">
    <w:name w:val="toc 3"/>
    <w:basedOn w:val="704"/>
    <w:next w:val="704"/>
    <w:uiPriority w:val="39"/>
    <w:unhideWhenUsed/>
    <w:pPr>
      <w:pBdr/>
      <w:spacing w:after="100"/>
      <w:ind w:left="440"/>
    </w:pPr>
  </w:style>
  <w:style w:type="paragraph" w:styleId="902">
    <w:name w:val="toc 4"/>
    <w:basedOn w:val="704"/>
    <w:next w:val="704"/>
    <w:uiPriority w:val="39"/>
    <w:unhideWhenUsed/>
    <w:pPr>
      <w:pBdr/>
      <w:spacing w:after="100"/>
      <w:ind w:left="660"/>
    </w:pPr>
  </w:style>
  <w:style w:type="paragraph" w:styleId="903">
    <w:name w:val="toc 5"/>
    <w:basedOn w:val="704"/>
    <w:next w:val="704"/>
    <w:uiPriority w:val="39"/>
    <w:unhideWhenUsed/>
    <w:pPr>
      <w:pBdr/>
      <w:spacing w:after="100"/>
      <w:ind w:left="880"/>
    </w:pPr>
  </w:style>
  <w:style w:type="paragraph" w:styleId="904">
    <w:name w:val="toc 6"/>
    <w:basedOn w:val="704"/>
    <w:next w:val="704"/>
    <w:uiPriority w:val="39"/>
    <w:unhideWhenUsed/>
    <w:pPr>
      <w:pBdr/>
      <w:spacing w:after="100"/>
      <w:ind w:left="1100"/>
    </w:pPr>
  </w:style>
  <w:style w:type="paragraph" w:styleId="905">
    <w:name w:val="toc 7"/>
    <w:basedOn w:val="704"/>
    <w:next w:val="704"/>
    <w:uiPriority w:val="39"/>
    <w:unhideWhenUsed/>
    <w:pPr>
      <w:pBdr/>
      <w:spacing w:after="100"/>
      <w:ind w:left="1320"/>
    </w:pPr>
  </w:style>
  <w:style w:type="paragraph" w:styleId="906">
    <w:name w:val="toc 8"/>
    <w:basedOn w:val="704"/>
    <w:next w:val="704"/>
    <w:uiPriority w:val="39"/>
    <w:unhideWhenUsed/>
    <w:pPr>
      <w:pBdr/>
      <w:spacing w:after="100"/>
      <w:ind w:left="1540"/>
    </w:pPr>
  </w:style>
  <w:style w:type="paragraph" w:styleId="907">
    <w:name w:val="toc 9"/>
    <w:basedOn w:val="704"/>
    <w:next w:val="704"/>
    <w:uiPriority w:val="39"/>
    <w:unhideWhenUsed/>
    <w:pPr>
      <w:pBdr/>
      <w:spacing w:after="100"/>
      <w:ind w:left="1760"/>
    </w:pPr>
  </w:style>
  <w:style w:type="character" w:styleId="908">
    <w:name w:val="Placeholder Text"/>
    <w:basedOn w:val="714"/>
    <w:uiPriority w:val="99"/>
    <w:semiHidden/>
    <w:pPr>
      <w:pBdr/>
      <w:spacing/>
      <w:ind/>
    </w:pPr>
    <w:rPr>
      <w:color w:val="666666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04"/>
    <w:next w:val="704"/>
    <w:uiPriority w:val="99"/>
    <w:unhideWhenUsed/>
    <w:pPr>
      <w:pBdr/>
      <w:spacing/>
      <w:ind/>
    </w:pPr>
  </w:style>
  <w:style w:type="paragraph" w:styleId="911" w:customStyle="1">
    <w:name w:val="[Normal]"/>
    <w:pPr>
      <w:widowControl w:val="false"/>
      <w:pBdr/>
      <w:spacing/>
      <w:ind/>
    </w:pPr>
    <w:rPr>
      <w:rFonts w:ascii="Arial" w:hAnsi="Arial" w:eastAsia="Arial"/>
      <w:sz w:val="24"/>
      <w:szCs w:val="24"/>
      <w:lang w:eastAsia="ru-RU"/>
    </w:rPr>
  </w:style>
  <w:style w:type="paragraph" w:styleId="912">
    <w:name w:val="Revision"/>
    <w:hidden/>
    <w:uiPriority w:val="99"/>
    <w:semiHidden/>
    <w:pPr>
      <w:pBdr/>
      <w:spacing/>
      <w:ind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revision>4</cp:revision>
  <dcterms:created xsi:type="dcterms:W3CDTF">2026-05-22T09:43:00Z</dcterms:created>
  <dcterms:modified xsi:type="dcterms:W3CDTF">2026-05-25T10:09:54Z</dcterms:modified>
  <cp:version>1048576</cp:version>
</cp:coreProperties>
</file>