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7238750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1B02D9" w:rsidRPr="001B02D9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Start"/>
      <w:r w:rsidR="001B02D9">
        <w:rPr>
          <w:rFonts w:ascii="Times New Roman" w:hAnsi="Times New Roman" w:cs="Times New Roman"/>
          <w:color w:val="000000"/>
          <w:sz w:val="24"/>
          <w:szCs w:val="24"/>
          <w:lang w:val="en-US"/>
        </w:rPr>
        <w:t>rsh</w:t>
      </w:r>
      <w:proofErr w:type="spellEnd"/>
      <w:r w:rsidR="001B02D9" w:rsidRPr="001B02D9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корп. 60А, ИНН 7710020212, ОГРН 1037739314348) (далее – финансовая организация), конкурсным управляющим (ликвидатором) которого на основании решения Арбитражного суда г. Москвы от 15 августа 2018 г. по делу № А40-107704/</w:t>
      </w:r>
      <w:r w:rsidR="00055ABC"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="001B02D9" w:rsidRPr="001B02D9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58C4FBC0" w:rsidR="00CB638E" w:rsidRDefault="001B02D9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1B02D9">
        <w:rPr>
          <w:rFonts w:ascii="Times New Roman CYR" w:hAnsi="Times New Roman CYR" w:cs="Times New Roman CYR"/>
          <w:color w:val="000000"/>
        </w:rPr>
        <w:t xml:space="preserve">1 - </w:t>
      </w:r>
      <w:r w:rsidRPr="001B02D9">
        <w:rPr>
          <w:rFonts w:ascii="Times New Roman CYR" w:hAnsi="Times New Roman CYR" w:cs="Times New Roman CYR"/>
          <w:color w:val="000000"/>
        </w:rPr>
        <w:t>Земельный участок - 24 139 +/- 109 кв. м, местоположение: Псковская область, р-н Пыталовский, СП "</w:t>
      </w:r>
      <w:proofErr w:type="spellStart"/>
      <w:r w:rsidRPr="001B02D9">
        <w:rPr>
          <w:rFonts w:ascii="Times New Roman CYR" w:hAnsi="Times New Roman CYR" w:cs="Times New Roman CYR"/>
          <w:color w:val="000000"/>
        </w:rPr>
        <w:t>Утроинская</w:t>
      </w:r>
      <w:proofErr w:type="spellEnd"/>
      <w:r w:rsidRPr="001B02D9">
        <w:rPr>
          <w:rFonts w:ascii="Times New Roman CYR" w:hAnsi="Times New Roman CYR" w:cs="Times New Roman CYR"/>
          <w:color w:val="000000"/>
        </w:rPr>
        <w:t xml:space="preserve"> волость", д. </w:t>
      </w:r>
      <w:proofErr w:type="spellStart"/>
      <w:r w:rsidRPr="001B02D9">
        <w:rPr>
          <w:rFonts w:ascii="Times New Roman CYR" w:hAnsi="Times New Roman CYR" w:cs="Times New Roman CYR"/>
          <w:color w:val="000000"/>
        </w:rPr>
        <w:t>Заводино</w:t>
      </w:r>
      <w:proofErr w:type="spellEnd"/>
      <w:r w:rsidRPr="001B02D9">
        <w:rPr>
          <w:rFonts w:ascii="Times New Roman CYR" w:hAnsi="Times New Roman CYR" w:cs="Times New Roman CYR"/>
          <w:color w:val="000000"/>
        </w:rPr>
        <w:t>, кадастровый номер 60:21:0080605:5, земли населенных пунктов - для строительства производственной базы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B02D9">
        <w:rPr>
          <w:rFonts w:ascii="Times New Roman CYR" w:hAnsi="Times New Roman CYR" w:cs="Times New Roman CYR"/>
          <w:color w:val="000000"/>
        </w:rPr>
        <w:t>4 750 000,00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3EC091CE" w14:textId="7B090591" w:rsidR="00FF6EDC" w:rsidRPr="00FF6EDC" w:rsidRDefault="00FF6EDC" w:rsidP="00FF6E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</w:t>
      </w:r>
      <w:r w:rsidRPr="00FF6EDC">
        <w:rPr>
          <w:rFonts w:ascii="Times New Roman CYR" w:hAnsi="Times New Roman CYR" w:cs="Times New Roman CYR"/>
          <w:color w:val="000000"/>
        </w:rPr>
        <w:t>реализуется с учетом ограничений, установленных п. 3 ст. 15 Земельного кодекса Российской Федерации в соответствии с которым 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приграничных территориях, перечень которых устанавливается Указом Президента Российской Федерации от 09.01.2011 № 26 «Об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участками» в соответствии с федеральным законодательством о Государственной границе Российской Федерации, и на иных установленных особых территориях Российской Федерации в соответствии с федеральными законами.</w:t>
      </w:r>
    </w:p>
    <w:p w14:paraId="72CEA841" w14:textId="3EC162D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1B02D9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7AE218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B02D9" w:rsidRPr="001B02D9">
        <w:rPr>
          <w:rFonts w:ascii="Times New Roman CYR" w:hAnsi="Times New Roman CYR" w:cs="Times New Roman CYR"/>
          <w:b/>
          <w:bCs/>
          <w:color w:val="000000"/>
        </w:rPr>
        <w:t>12 мая</w:t>
      </w:r>
      <w:r w:rsidR="001B02D9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48D280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1B02D9">
        <w:rPr>
          <w:color w:val="000000"/>
        </w:rPr>
        <w:t xml:space="preserve">12 мая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1B02D9" w:rsidRPr="001B02D9">
        <w:rPr>
          <w:b/>
          <w:bCs/>
          <w:color w:val="000000"/>
        </w:rPr>
        <w:t xml:space="preserve">29 июня </w:t>
      </w:r>
      <w:r w:rsidR="009E7E5E" w:rsidRPr="001B02D9">
        <w:rPr>
          <w:b/>
          <w:bCs/>
          <w:color w:val="000000"/>
        </w:rPr>
        <w:t>202</w:t>
      </w:r>
      <w:r w:rsidR="00FE0848" w:rsidRPr="001B02D9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1B02D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1B02D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F810B0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B02D9" w:rsidRPr="001B02D9">
        <w:rPr>
          <w:b/>
          <w:bCs/>
          <w:color w:val="000000"/>
        </w:rPr>
        <w:t>31 марта</w:t>
      </w:r>
      <w:r w:rsidR="001B02D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B02D9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B02D9" w:rsidRPr="001B02D9">
        <w:rPr>
          <w:b/>
          <w:bCs/>
          <w:color w:val="000000"/>
        </w:rPr>
        <w:t>18 мая</w:t>
      </w:r>
      <w:r w:rsidR="001B02D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A495AC6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lastRenderedPageBreak/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1B02D9">
        <w:rPr>
          <w:b/>
          <w:bCs/>
          <w:color w:val="000000"/>
        </w:rPr>
        <w:t xml:space="preserve">15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1B02D9">
        <w:rPr>
          <w:b/>
          <w:bCs/>
          <w:color w:val="000000"/>
        </w:rPr>
        <w:t xml:space="preserve">20 августа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7F7CB5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1B02D9" w:rsidRPr="001B02D9">
        <w:rPr>
          <w:b/>
          <w:bCs/>
          <w:color w:val="000000"/>
        </w:rPr>
        <w:t>15 июля</w:t>
      </w:r>
      <w:r w:rsidR="001B02D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1B02D9">
        <w:rPr>
          <w:color w:val="000000"/>
        </w:rPr>
        <w:t xml:space="preserve">прекращается за </w:t>
      </w:r>
      <w:r w:rsidR="00F17038" w:rsidRPr="001B02D9">
        <w:rPr>
          <w:color w:val="000000"/>
        </w:rPr>
        <w:t>1</w:t>
      </w:r>
      <w:r w:rsidRPr="001B02D9">
        <w:rPr>
          <w:color w:val="000000"/>
        </w:rPr>
        <w:t xml:space="preserve"> (</w:t>
      </w:r>
      <w:r w:rsidR="00F17038" w:rsidRPr="001B02D9">
        <w:rPr>
          <w:color w:val="000000"/>
        </w:rPr>
        <w:t>Один</w:t>
      </w:r>
      <w:r w:rsidRPr="001B02D9">
        <w:rPr>
          <w:color w:val="000000"/>
        </w:rPr>
        <w:t>) календарны</w:t>
      </w:r>
      <w:r w:rsidR="00F17038" w:rsidRPr="001B02D9">
        <w:rPr>
          <w:color w:val="000000"/>
        </w:rPr>
        <w:t>й</w:t>
      </w:r>
      <w:r w:rsidRPr="001B02D9">
        <w:rPr>
          <w:color w:val="000000"/>
        </w:rPr>
        <w:t xml:space="preserve"> де</w:t>
      </w:r>
      <w:r w:rsidR="00F17038" w:rsidRPr="001B02D9">
        <w:rPr>
          <w:color w:val="000000"/>
        </w:rPr>
        <w:t>нь</w:t>
      </w:r>
      <w:r w:rsidRPr="001B02D9">
        <w:rPr>
          <w:color w:val="000000"/>
        </w:rPr>
        <w:t xml:space="preserve"> до</w:t>
      </w:r>
      <w:r w:rsidRPr="005246E8">
        <w:rPr>
          <w:color w:val="000000"/>
        </w:rPr>
        <w:t xml:space="preserve"> даты окончания соответствующего периода понижения цены продажи лот</w:t>
      </w:r>
      <w:r w:rsidR="001B02D9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6D62AD6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1B02D9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1B02D9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1E9436A9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1B02D9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1B02D9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9BD91F2" w14:textId="77777777" w:rsidR="001B02D9" w:rsidRPr="001B02D9" w:rsidRDefault="001B02D9" w:rsidP="001B0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с 15 июля 2026 г. по 18 июля 2026 г. - в размере начальной цены продажи лота;</w:t>
      </w:r>
    </w:p>
    <w:p w14:paraId="6894B000" w14:textId="6D9C8F45" w:rsidR="001B02D9" w:rsidRPr="001B02D9" w:rsidRDefault="001B02D9" w:rsidP="001B0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с 19 июля 2026 г. по 22 июля 2026 г. - в размере 94,57% от начальной цены продажи лота;</w:t>
      </w:r>
    </w:p>
    <w:p w14:paraId="2B30EDF5" w14:textId="1319FF64" w:rsidR="001B02D9" w:rsidRPr="001B02D9" w:rsidRDefault="001B02D9" w:rsidP="001B0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с 23 июля 2026 г. по 26 июля 2026 г. - в размере 89,14% от начальной цены продажи лота;</w:t>
      </w:r>
    </w:p>
    <w:p w14:paraId="0F259072" w14:textId="021628EF" w:rsidR="001B02D9" w:rsidRPr="001B02D9" w:rsidRDefault="001B02D9" w:rsidP="001B0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с 27 июля 2026 г. по 30 июля 2026 г. - в размере 83,71% от начальной цены продажи лота;</w:t>
      </w:r>
    </w:p>
    <w:p w14:paraId="2F2320FC" w14:textId="470EC724" w:rsidR="001B02D9" w:rsidRPr="001B02D9" w:rsidRDefault="001B02D9" w:rsidP="001B0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с 31 июля 2026 г. по 02 августа 2026 г. - в размере 78,28% от начальной цены продажи лота;</w:t>
      </w:r>
    </w:p>
    <w:p w14:paraId="71B52688" w14:textId="5C3A3F3F" w:rsidR="001B02D9" w:rsidRPr="001B02D9" w:rsidRDefault="001B02D9" w:rsidP="001B0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с 03 августа 2026 г. по 05 августа 2026 г. - в размере 72,85% от начальной цены продажи лота;</w:t>
      </w:r>
    </w:p>
    <w:p w14:paraId="4D941815" w14:textId="7BA73A2D" w:rsidR="001B02D9" w:rsidRPr="001B02D9" w:rsidRDefault="001B02D9" w:rsidP="001B0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с 06 августа 2026 г. по 08 августа 2026 г. - в размере 67,42% от начальной цены продажи лота;</w:t>
      </w:r>
    </w:p>
    <w:p w14:paraId="456CAE07" w14:textId="03F46CC8" w:rsidR="001B02D9" w:rsidRPr="001B02D9" w:rsidRDefault="001B02D9" w:rsidP="001B0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с 09 августа 2026 г. по 11 августа 2026 г. - в размере 61,99% от начальной цены продажи лота;</w:t>
      </w:r>
    </w:p>
    <w:p w14:paraId="755D188F" w14:textId="6AC68588" w:rsidR="001B02D9" w:rsidRPr="001B02D9" w:rsidRDefault="001B02D9" w:rsidP="001B0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с 12 августа 2026 г. по 14 августа 2026 г. - в размере 56,56% от начальной цены продажи лота;</w:t>
      </w:r>
    </w:p>
    <w:p w14:paraId="0F8413DF" w14:textId="35F7F5E7" w:rsidR="001B02D9" w:rsidRPr="001B02D9" w:rsidRDefault="001B02D9" w:rsidP="001B0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с 15 августа 2026 г. по 17 августа 2026 г. - в размере 51,13% от начальной цены продажи лота;</w:t>
      </w:r>
    </w:p>
    <w:p w14:paraId="447AC59A" w14:textId="41633EFE" w:rsidR="00097526" w:rsidRDefault="001B02D9" w:rsidP="001B0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с 18 августа 2026 г. по 20 августа 2026 г. - в размере 45,70%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1B02D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2D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1B02D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2D9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</w:t>
      </w:r>
      <w:r w:rsidRPr="001B02D9">
        <w:rPr>
          <w:rFonts w:ascii="Times New Roman" w:hAnsi="Times New Roman" w:cs="Times New Roman"/>
          <w:sz w:val="24"/>
          <w:szCs w:val="24"/>
        </w:rPr>
        <w:lastRenderedPageBreak/>
        <w:t>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1B02D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2D9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1B02D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2D9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1B02D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640" w:rsidRPr="001B02D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B02D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1B02D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B02D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1B02D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B02D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1B02D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B02D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1B02D9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3E195813" w:rsidR="00BD7640" w:rsidRPr="001B02D9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1B02D9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1B02D9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1B02D9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1B02D9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1B02D9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1B02D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10D7969" w:rsidR="00097526" w:rsidRPr="001B02D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B0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1B02D9">
        <w:rPr>
          <w:rFonts w:ascii="Times New Roman" w:hAnsi="Times New Roman" w:cs="Times New Roman"/>
          <w:sz w:val="24"/>
          <w:szCs w:val="24"/>
        </w:rPr>
        <w:t xml:space="preserve"> д</w:t>
      </w:r>
      <w:r w:rsidRPr="001B0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1B02D9">
        <w:rPr>
          <w:rFonts w:ascii="Times New Roman" w:hAnsi="Times New Roman" w:cs="Times New Roman"/>
          <w:sz w:val="24"/>
          <w:szCs w:val="24"/>
        </w:rPr>
        <w:t xml:space="preserve"> </w:t>
      </w:r>
      <w:r w:rsidRPr="001B02D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1B02D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1B02D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B02D9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9A31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31DA" w:rsidRPr="009A31DA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9A31DA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9A31DA" w:rsidRPr="009A31DA">
        <w:rPr>
          <w:rFonts w:ascii="Times New Roman" w:hAnsi="Times New Roman" w:cs="Times New Roman"/>
          <w:color w:val="000000"/>
          <w:sz w:val="24"/>
          <w:szCs w:val="24"/>
        </w:rPr>
        <w:t>967-246-44-08, эл. почта:  kirillova@auction-house.ru</w:t>
      </w:r>
      <w:r w:rsidRPr="001B02D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D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5ABC"/>
    <w:rsid w:val="00056EF8"/>
    <w:rsid w:val="00097526"/>
    <w:rsid w:val="00136CF2"/>
    <w:rsid w:val="00137FC5"/>
    <w:rsid w:val="00145293"/>
    <w:rsid w:val="0015099D"/>
    <w:rsid w:val="001B02D9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24CE8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A31DA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dcterms:created xsi:type="dcterms:W3CDTF">2026-03-24T10:23:00Z</dcterms:created>
  <dcterms:modified xsi:type="dcterms:W3CDTF">2026-03-24T10:23:00Z</dcterms:modified>
</cp:coreProperties>
</file>