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ДОГОВОР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купли-продажи  недвижимого имущества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 №____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_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п. Серебряный Б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 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                                                                   «____» ___________ 2026 г.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426"/>
        <w:jc w:val="both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426"/>
        <w:jc w:val="both"/>
        <w:spacing w:before="0"/>
        <w:rPr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Акционерное общество «Дальневосточная генерирующая компания» (АО «ДГК»), именуемое в дальнейшем «Продавец», в лице __________</w:t>
      </w:r>
      <w:r>
        <w:rPr>
          <w:sz w:val="26"/>
          <w:szCs w:val="26"/>
          <w:highlight w:val="none"/>
        </w:rPr>
        <w:t xml:space="preserve">, действующего на основании ___________, с одной стороны, </w:t>
      </w:r>
      <w:r>
        <w:rPr>
          <w:sz w:val="26"/>
          <w:szCs w:val="26"/>
          <w:highlight w:val="none"/>
        </w:rPr>
        <w:t xml:space="preserve">и</w:t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ind w:firstLine="567"/>
        <w:tabs>
          <w:tab w:val="left" w:pos="990" w:leader="none"/>
        </w:tabs>
        <w:rPr>
          <w:highlight w:val="none"/>
          <w:u w:val="none"/>
        </w:rPr>
      </w:pPr>
      <w:r>
        <w:rPr>
          <w:highlight w:val="none"/>
        </w:rPr>
        <w:t xml:space="preserve"> </w:t>
      </w:r>
      <w:r>
        <w:rPr>
          <w:highlight w:val="none"/>
          <w:shd w:val="clear" w:color="auto" w:fill="ffff99"/>
        </w:rPr>
        <w:t xml:space="preserve">для юридического лица</w:t>
      </w:r>
      <w:r>
        <w:rPr>
          <w:highlight w:val="none"/>
        </w:rPr>
        <w:t xml:space="preserve">: </w:t>
      </w:r>
      <w:r>
        <w:rPr>
          <w:highlight w:val="none"/>
          <w:u w:val="none"/>
        </w:rPr>
        <w:t xml:space="preserve">_______________________(полное наименование Покупателя) (сокращенное наименование Покупателя),</w:t>
      </w:r>
      <w:r>
        <w:rPr>
          <w:highlight w:val="none"/>
          <w:u w:val="none"/>
        </w:rPr>
        <w:t xml:space="preserve"> </w:t>
      </w:r>
      <w:r>
        <w:rPr>
          <w:highlight w:val="none"/>
        </w:rPr>
        <w:t xml:space="preserve">именуемое в </w:t>
      </w:r>
      <w:r>
        <w:rPr>
          <w:highlight w:val="none"/>
        </w:rPr>
        <w:t xml:space="preserve">дальнейшем «Покупатель»</w:t>
      </w:r>
      <w:r>
        <w:rPr>
          <w:highlight w:val="none"/>
        </w:rPr>
        <w:t xml:space="preserve">, в лице ____________», действующего на основании _______________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ind w:firstLine="567"/>
        <w:tabs>
          <w:tab w:val="left" w:pos="99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  <w:shd w:val="clear" w:color="auto" w:fill="ffff99"/>
        </w:rPr>
        <w:t xml:space="preserve">для физического лица - </w:t>
      </w:r>
      <w:r>
        <w:rPr>
          <w:highlight w:val="none"/>
          <w:shd w:val="clear" w:color="auto" w:fill="ffff99"/>
        </w:rPr>
        <w:t xml:space="preserve"> </w:t>
      </w:r>
      <w:r>
        <w:rPr>
          <w:highlight w:val="none"/>
          <w:shd w:val="clear" w:color="auto" w:fill="ffff99"/>
        </w:rPr>
        <w:t xml:space="preserve">гражданин РФ </w:t>
      </w:r>
      <w:r>
        <w:rPr>
          <w:highlight w:val="none"/>
          <w:shd w:val="clear" w:color="auto" w:fill="ffff99"/>
        </w:rPr>
        <w:t xml:space="preserve">_____________(ФИО)</w:t>
      </w:r>
      <w:r>
        <w:rPr>
          <w:highlight w:val="none"/>
          <w:shd w:val="clear" w:color="auto" w:fill="ffff99"/>
        </w:rPr>
        <w:t xml:space="preserve">,</w:t>
      </w:r>
      <w:r>
        <w:rPr>
          <w:highlight w:val="none"/>
          <w:shd w:val="clear" w:color="auto" w:fill="ffff99"/>
        </w:rPr>
        <w:t xml:space="preserve"> </w:t>
      </w:r>
      <w:r>
        <w:rPr>
          <w:highlight w:val="none"/>
          <w:shd w:val="clear" w:color="auto" w:fill="ffff99"/>
        </w:rPr>
        <w:t xml:space="preserve">и</w:t>
      </w:r>
      <w:r>
        <w:rPr>
          <w:highlight w:val="none"/>
          <w:shd w:val="clear" w:color="auto" w:fill="ffff99"/>
        </w:rPr>
        <w:t xml:space="preserve">м</w:t>
      </w:r>
      <w:r>
        <w:rPr>
          <w:highlight w:val="none"/>
          <w:shd w:val="clear" w:color="auto" w:fill="ffff99"/>
        </w:rPr>
        <w:t xml:space="preserve">е</w:t>
      </w:r>
      <w:r>
        <w:rPr>
          <w:highlight w:val="none"/>
          <w:shd w:val="clear" w:color="auto" w:fill="ffff99"/>
        </w:rPr>
        <w:t xml:space="preserve">н</w:t>
      </w:r>
      <w:r>
        <w:rPr>
          <w:highlight w:val="none"/>
          <w:shd w:val="clear" w:color="auto" w:fill="ffff99"/>
        </w:rPr>
        <w:t xml:space="preserve">у</w:t>
      </w:r>
      <w:r>
        <w:rPr>
          <w:highlight w:val="none"/>
          <w:shd w:val="clear" w:color="auto" w:fill="ffff99"/>
        </w:rPr>
        <w:t xml:space="preserve">е</w:t>
      </w:r>
      <w:r>
        <w:rPr>
          <w:highlight w:val="none"/>
          <w:shd w:val="clear" w:color="auto" w:fill="ffff99"/>
        </w:rPr>
        <w:t xml:space="preserve">м</w:t>
      </w:r>
      <w:r>
        <w:rPr>
          <w:highlight w:val="none"/>
          <w:shd w:val="clear" w:color="auto" w:fill="ffff99"/>
        </w:rPr>
        <w:t xml:space="preserve">ы</w:t>
      </w:r>
      <w:r>
        <w:rPr>
          <w:highlight w:val="none"/>
          <w:shd w:val="clear" w:color="auto" w:fill="ffff99"/>
        </w:rPr>
        <w:t xml:space="preserve">й</w:t>
      </w:r>
      <w:r>
        <w:rPr>
          <w:highlight w:val="none"/>
          <w:shd w:val="clear" w:color="auto" w:fill="ffff99"/>
        </w:rPr>
        <w:t xml:space="preserve"> </w:t>
      </w:r>
      <w:r>
        <w:rPr>
          <w:highlight w:val="none"/>
          <w:shd w:val="clear" w:color="auto" w:fill="ffff99"/>
        </w:rPr>
        <w:t xml:space="preserve">в</w:t>
      </w:r>
      <w:r>
        <w:rPr>
          <w:highlight w:val="none"/>
          <w:shd w:val="clear" w:color="auto" w:fill="ffff99"/>
        </w:rPr>
        <w:t xml:space="preserve"> </w:t>
      </w:r>
      <w:r>
        <w:rPr>
          <w:highlight w:val="none"/>
          <w:shd w:val="clear" w:color="auto" w:fill="ffff99"/>
        </w:rPr>
        <w:t xml:space="preserve">д</w:t>
      </w:r>
      <w:r>
        <w:rPr>
          <w:highlight w:val="none"/>
          <w:shd w:val="clear" w:color="auto" w:fill="ffff99"/>
        </w:rPr>
        <w:t xml:space="preserve">а</w:t>
      </w:r>
      <w:r>
        <w:rPr>
          <w:highlight w:val="none"/>
          <w:shd w:val="clear" w:color="auto" w:fill="ffff99"/>
        </w:rPr>
        <w:t xml:space="preserve">л</w:t>
      </w:r>
      <w:r>
        <w:rPr>
          <w:highlight w:val="none"/>
          <w:shd w:val="clear" w:color="auto" w:fill="ffff99"/>
        </w:rPr>
        <w:t xml:space="preserve">ь</w:t>
      </w:r>
      <w:r>
        <w:rPr>
          <w:highlight w:val="none"/>
          <w:shd w:val="clear" w:color="auto" w:fill="ffff99"/>
        </w:rPr>
        <w:t xml:space="preserve">н</w:t>
      </w:r>
      <w:r>
        <w:rPr>
          <w:highlight w:val="none"/>
          <w:shd w:val="clear" w:color="auto" w:fill="ffff99"/>
        </w:rPr>
        <w:t xml:space="preserve">е</w:t>
      </w:r>
      <w:r>
        <w:rPr>
          <w:highlight w:val="none"/>
          <w:shd w:val="clear" w:color="auto" w:fill="ffff99"/>
        </w:rPr>
        <w:t xml:space="preserve">й</w:t>
      </w:r>
      <w:r>
        <w:rPr>
          <w:highlight w:val="none"/>
          <w:shd w:val="clear" w:color="auto" w:fill="ffff99"/>
        </w:rPr>
        <w:t xml:space="preserve">шем «Покупатель»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tabs>
          <w:tab w:val="left" w:pos="990" w:leader="none"/>
        </w:tabs>
        <w:rPr>
          <w:highlight w:val="none"/>
        </w:rPr>
      </w:pPr>
      <w:r>
        <w:rPr>
          <w:highlight w:val="none"/>
          <w:shd w:val="clear" w:color="auto" w:fill="ffff99"/>
        </w:rPr>
        <w:t xml:space="preserve">для индивидуального предпринимателя - </w:t>
      </w:r>
      <w:r>
        <w:rPr>
          <w:highlight w:val="none"/>
          <w:shd w:val="clear" w:color="auto" w:fill="ffff99"/>
        </w:rPr>
        <w:t xml:space="preserve">_______________ (ФИО), зарегистрированный в ЕГРИП (дата) за ОГРНИП ______________,</w:t>
      </w:r>
      <w:r>
        <w:rPr>
          <w:highlight w:val="none"/>
        </w:rPr>
        <w:t xml:space="preserve">именуемое (-ый, -ая) в </w:t>
      </w:r>
      <w:r>
        <w:rPr>
          <w:highlight w:val="none"/>
        </w:rPr>
        <w:t xml:space="preserve">дальнейшем «Покупатель»,</w:t>
      </w:r>
      <w:r>
        <w:rPr>
          <w:highlight w:val="none"/>
        </w:rPr>
        <w:t xml:space="preserve"> </w:t>
      </w:r>
      <w:r>
        <w:rPr>
          <w:highlight w:val="none"/>
        </w:rPr>
        <w:t xml:space="preserve"> с другой стороны,</w:t>
      </w:r>
      <w:r>
        <w:rPr>
          <w:highlight w:val="none"/>
        </w:rPr>
      </w:r>
      <w:r>
        <w:rPr>
          <w:highlight w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highlight w:val="none"/>
        </w:rPr>
        <w:t xml:space="preserve">а вместе именуемые «Стороны», руководствуясь главой 30 Гражданского кодекса Российской Федерации, </w:t>
      </w:r>
      <w:r>
        <w:rPr>
          <w:highlight w:val="none"/>
        </w:rPr>
        <w:t xml:space="preserve">по результатам _____</w:t>
      </w:r>
      <w:r>
        <w:rPr>
          <w:highlight w:val="none"/>
        </w:rPr>
        <w:t xml:space="preserve">Аукциона и на основании Протокола №____________ процедуры продажи____ (код лота ________) </w:t>
      </w:r>
      <w:r>
        <w:rPr>
          <w:highlight w:val="none"/>
        </w:rPr>
        <w:t xml:space="preserve">заключили настоящий Договор купли-продажи недвижимого имущества (именуемый в дальнейшем - Договор) о нижеследующем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221"/>
        <w:numPr>
          <w:ilvl w:val="0"/>
          <w:numId w:val="177"/>
        </w:numPr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Предмет Договора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1163"/>
        <w:numPr>
          <w:ilvl w:val="0"/>
          <w:numId w:val="146"/>
        </w:numPr>
        <w:ind w:left="0" w:right="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49" w:leader="none"/>
          <w:tab w:val="right" w:pos="1440" w:leader="none"/>
          <w:tab w:val="clear" w:pos="9360" w:leader="none"/>
          <w:tab w:val="left" w:pos="9810" w:leader="none"/>
        </w:tabs>
        <w:rPr>
          <w:rFonts w:ascii="Times New Roman" w:hAnsi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eastAsia="Geneva"/>
          <w:highlight w:val="white"/>
          <w:lang w:eastAsia="en-US"/>
        </w:rPr>
        <w:t xml:space="preserve">В соответствии с условиями настоящего Договора Продавец передает в собственность Покупателя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недвижимое имущество: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Здание (строение)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назначение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нежилое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общая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площадь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5 516,5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кв.м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адрес расположения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Республика Саха (Якутия), г. Нерюнгри, пгт.Серебряный Бор, жилая зона, временная контора СМТ (УС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"ЯЭС")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кадастровый номер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14:19:000000:4270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запись ЕГРН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от 31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.12.2006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14-14-08/016/2006-053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нвентарный номер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00000000000000022826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(далее – Имущество).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567"/>
        <w:spacing w:before="0"/>
        <w:tabs>
          <w:tab w:val="left" w:pos="567" w:leader="none"/>
          <w:tab w:val="left" w:pos="709" w:leader="none"/>
          <w:tab w:val="left" w:pos="990" w:leader="none"/>
        </w:tabs>
        <w:rPr>
          <w:rFonts w:eastAsia="Geneva"/>
          <w:sz w:val="22"/>
          <w:szCs w:val="22"/>
          <w:highlight w:val="white"/>
        </w:rPr>
      </w:pPr>
      <w:r>
        <w:rPr>
          <w:rFonts w:eastAsia="Geneva"/>
          <w:highlight w:val="white"/>
          <w:lang w:eastAsia="en-US"/>
        </w:rPr>
        <w:t xml:space="preserve">Покупатель принимает вышеуказанное Имущество, и уплачивает указанную настоящим Договором цену.</w:t>
      </w:r>
      <w:r>
        <w:rPr>
          <w:rFonts w:eastAsia="Geneva"/>
          <w:sz w:val="22"/>
          <w:szCs w:val="22"/>
          <w:highlight w:val="white"/>
        </w:rPr>
      </w:r>
      <w:r>
        <w:rPr>
          <w:rFonts w:eastAsia="Geneva"/>
          <w:sz w:val="22"/>
          <w:szCs w:val="22"/>
          <w:highlight w:val="white"/>
        </w:rPr>
      </w:r>
    </w:p>
    <w:p>
      <w:pPr>
        <w:ind w:firstLine="567"/>
        <w:spacing w:before="0" w:beforeAutospacing="0" w:after="0" w:afterAutospacing="0"/>
        <w:tabs>
          <w:tab w:val="left" w:pos="567" w:leader="none"/>
          <w:tab w:val="left" w:pos="709" w:leader="none"/>
          <w:tab w:val="left" w:pos="990" w:leader="none"/>
        </w:tabs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1.2. Имуществ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 расположено на земельном участке, принадлежащем  Продавцу на праве аренды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 основании договора аренды земельного участка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№114 от 09.01.2007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кадастровый номер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14:19:209002:193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; номер регистрационной записи обременения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1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4-14-08/007/2007-288 от 02.03.2007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).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r>
    </w:p>
    <w:p>
      <w:pPr>
        <w:ind w:firstLine="567"/>
        <w:spacing w:before="0" w:beforeAutospacing="0" w:after="0" w:afterAutospacing="0"/>
        <w:tabs>
          <w:tab w:val="left" w:pos="567" w:leader="none"/>
          <w:tab w:val="left" w:pos="709" w:leader="none"/>
          <w:tab w:val="left" w:pos="990" w:leader="none"/>
        </w:tabs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Продавец гарантирует, что на момент заключения настоящего Договора Иму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щество, являющееся предметом настоящего Договора, никому другому не продано, не з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аложено, в споре, под арестом и запретом не состоит и свободно от любых прав третьих лиц, о которых Продавец на момент заключения настоящего Договора знал или не мог не знать.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r>
    </w:p>
    <w:p>
      <w:pPr>
        <w:ind w:firstLine="567"/>
        <w:spacing w:before="0"/>
        <w:tabs>
          <w:tab w:val="left" w:pos="567" w:leader="none"/>
          <w:tab w:val="left" w:pos="709" w:leader="none"/>
          <w:tab w:val="left" w:pos="990" w:leader="none"/>
        </w:tabs>
        <w:rPr>
          <w:highlight w:val="white"/>
        </w:rPr>
      </w:pPr>
      <w:r>
        <w:rPr>
          <w:highlight w:val="white"/>
        </w:rPr>
        <w:t xml:space="preserve">Продавец довел до сведения Покупателя, что по отчуждаемому Имуществу никаких споров не имеется.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spacing w:before="0"/>
        <w:tabs>
          <w:tab w:val="left" w:pos="567" w:leader="none"/>
          <w:tab w:val="left" w:pos="709" w:leader="none"/>
          <w:tab w:val="left" w:pos="990" w:leader="none"/>
        </w:tabs>
        <w:rPr>
          <w:rFonts w:eastAsia="Geneva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1.4.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eastAsia="Geneva"/>
          <w:highlight w:val="white"/>
          <w:lang w:eastAsia="en-US"/>
        </w:rPr>
        <w:t xml:space="preserve">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eastAsia="Geneva"/>
          <w:highlight w:val="white"/>
        </w:rPr>
      </w:r>
      <w:r>
        <w:rPr>
          <w:rFonts w:eastAsia="Geneva"/>
          <w:highlight w:val="white"/>
        </w:rPr>
      </w:r>
    </w:p>
    <w:p>
      <w:pPr>
        <w:pStyle w:val="1163"/>
        <w:ind w:left="567" w:right="20" w:firstLine="0"/>
        <w:jc w:val="both"/>
        <w:spacing w:before="0" w:beforeAutospacing="0" w:after="0" w:afterAutospacing="0" w:line="295" w:lineRule="exact"/>
        <w:tabs>
          <w:tab w:val="left" w:pos="990" w:leader="none"/>
          <w:tab w:val="left" w:pos="1289" w:leader="none"/>
          <w:tab w:val="right" w:pos="135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Цена имущества и порядок оплаты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60" w:firstLine="567"/>
        <w:jc w:val="both"/>
        <w:spacing w:before="0" w:beforeAutospacing="0" w:after="0" w:afterAutospacing="0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2.1.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В соответствии с Приложением №1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щая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цена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Имущества, указанного в пункте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настоящего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составляет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рублей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том числе НДС (%) в размере 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163"/>
        <w:ind w:left="40" w:right="60" w:firstLine="567"/>
        <w:jc w:val="both"/>
        <w:spacing w:before="0" w:beforeAutospacing="0" w:after="0" w:afterAutospacing="0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b/>
          <w:color w:val="00b0f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Общая цена Имущества является окончательной, не подлежит изменению или индексации с учетом инфляции и других обстоятельств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b/>
          <w:color w:val="00b0f0"/>
          <w:sz w:val="26"/>
          <w:szCs w:val="26"/>
        </w:rPr>
      </w:r>
      <w:r>
        <w:rPr>
          <w:rFonts w:ascii="Times New Roman" w:hAnsi="Times New Roman" w:cs="Times New Roman"/>
          <w:b/>
          <w:color w:val="00b0f0"/>
          <w:sz w:val="26"/>
          <w:szCs w:val="26"/>
        </w:rPr>
      </w:r>
    </w:p>
    <w:p>
      <w:pPr>
        <w:pStyle w:val="1163"/>
        <w:ind w:right="60" w:firstLine="567"/>
        <w:jc w:val="both"/>
        <w:spacing w:before="0" w:beforeAutospacing="0" w:after="0" w:afterAutospacing="0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</w:t>
      </w:r>
      <w:r>
        <w:rPr>
          <w:rFonts w:ascii="Times New Roman" w:hAnsi="Times New Roman" w:eastAsia="Times New Roman" w:cs="Times New Roman"/>
          <w:sz w:val="26"/>
          <w:szCs w:val="26"/>
        </w:rPr>
        <w:tab/>
        <w:t xml:space="preserve">Покупатель производит расчет по настоящему Договору в следующем порядке: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2"/>
          <w:numId w:val="147"/>
        </w:numPr>
        <w:ind w:left="0" w:right="6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170" w:leader="none"/>
          <w:tab w:val="right" w:pos="2552" w:leader="none"/>
          <w:tab w:val="clear" w:pos="9360" w:leader="none"/>
        </w:tabs>
        <w:rPr>
          <w:rFonts w:ascii="Times New Roman" w:hAnsi="Times New Roman" w:cs="Times New Roman"/>
          <w:color w:val="ff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Задаток в сумме 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рублей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 </w:t>
      </w:r>
      <w:r>
        <w:rPr>
          <w:szCs w:val="26"/>
          <w:highlight w:val="white"/>
        </w:rPr>
        <w:t xml:space="preserve">внесенный Покупателем </w:t>
      </w:r>
      <w:r>
        <w:rPr>
          <w:highlight w:val="white"/>
        </w:rPr>
        <w:t xml:space="preserve">в соответствии с документацией о продаже имущества АО «ДГК»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szCs w:val="26"/>
          <w:highlight w:val="white"/>
        </w:rPr>
        <w:t xml:space="preserve">перечисляется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________________________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_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  <w:lang w:eastAsia="en-US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наименование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Оператора ЭТП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  <w:lang w:eastAsia="en-US"/>
        </w:rPr>
        <w:t xml:space="preserve">]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</w:t>
      </w:r>
      <w:r>
        <w:rPr>
          <w:szCs w:val="26"/>
          <w:highlight w:val="white"/>
        </w:rPr>
        <w:t xml:space="preserve">а счет Продавца в течение 5 (пяти) рабочих дней со дня размещения инфо</w:t>
      </w:r>
      <w:r>
        <w:rPr>
          <w:szCs w:val="26"/>
          <w:highlight w:val="white"/>
        </w:rPr>
        <w:t xml:space="preserve">рмации о заключенном </w:t>
      </w:r>
      <w:r>
        <w:rPr>
          <w:sz w:val="26"/>
          <w:szCs w:val="26"/>
          <w:highlight w:val="white"/>
        </w:rPr>
        <w:t xml:space="preserve">договоре с </w:t>
      </w:r>
      <w:r>
        <w:rPr>
          <w:sz w:val="26"/>
          <w:szCs w:val="26"/>
          <w:highlight w:val="none"/>
        </w:rPr>
        <w:t xml:space="preserve">_______</w:t>
      </w:r>
      <w:r>
        <w:rPr>
          <w:szCs w:val="26"/>
          <w:highlight w:val="white"/>
        </w:rPr>
        <w:t xml:space="preserve">. Задаток засчитывается в счет оплаты Имущества. НДС подлежит исчислению на дату поступления денежных средств по ставке, предусмотренной законодательством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white"/>
        </w:rPr>
      </w:r>
    </w:p>
    <w:p>
      <w:pPr>
        <w:pStyle w:val="1163"/>
        <w:numPr>
          <w:ilvl w:val="2"/>
          <w:numId w:val="148"/>
        </w:numPr>
        <w:ind w:left="0" w:right="60" w:firstLine="567"/>
        <w:jc w:val="both"/>
        <w:spacing w:before="0" w:beforeAutospacing="0" w:after="0" w:afterAutospacing="0" w:line="295" w:lineRule="exact"/>
        <w:tabs>
          <w:tab w:val="left" w:pos="567" w:leader="none"/>
          <w:tab w:val="left" w:pos="990" w:leader="none"/>
          <w:tab w:val="left" w:pos="1170" w:leader="none"/>
          <w:tab w:val="left" w:pos="1276" w:leader="none"/>
          <w:tab w:val="clear" w:pos="9360" w:leader="none"/>
        </w:tabs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Оплата производится за вычетом суммы задатка в соответствии с пунктом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2.2.1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 денежными средствами на расчетный счет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Продавца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указанный в разделе 1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Договора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szCs w:val="26"/>
          <w:highlight w:val="none"/>
        </w:rPr>
        <w:t xml:space="preserve">до передачи Имущества по акту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в течение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5 (пяти) рабочих дней с даты подписания сторонами Договора купли-продажи в сумме 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рублей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копеек,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том числе НДС (%) в размере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рублей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копеек.</w:t>
      </w:r>
      <w:r>
        <w:rPr>
          <w:rFonts w:ascii="Times New Roman" w:hAnsi="Times New Roman" w:cs="Times New Roman"/>
          <w:color w:val="ff0000"/>
          <w:sz w:val="26"/>
          <w:szCs w:val="26"/>
        </w:rPr>
      </w:r>
      <w:r>
        <w:rPr>
          <w:rFonts w:ascii="Times New Roman" w:hAnsi="Times New Roman" w:cs="Times New Roman"/>
          <w:color w:val="ff0000"/>
          <w:sz w:val="26"/>
          <w:szCs w:val="26"/>
        </w:rPr>
      </w:r>
    </w:p>
    <w:p>
      <w:pPr>
        <w:pStyle w:val="1163"/>
        <w:numPr>
          <w:ilvl w:val="1"/>
          <w:numId w:val="149"/>
        </w:numPr>
        <w:ind w:left="0" w:right="60" w:firstLine="567"/>
        <w:jc w:val="both"/>
        <w:spacing w:before="0" w:beforeAutospacing="0" w:after="0" w:afterAutospacing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 настоящего Договора, на расчетный счет Продавца.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1"/>
          <w:numId w:val="150"/>
        </w:numPr>
        <w:ind w:left="0" w:right="60" w:firstLine="567"/>
        <w:jc w:val="both"/>
        <w:spacing w:before="0" w:beforeAutospacing="0" w:after="0" w:afterAutospacing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со статьей 380 Гражданского кодекса Российской Федерации задаток, указанный в пункте 2.2.1 Договора, является суммой в обеспечение исполнения обязательств Покупателя по заключению договора </w:t>
      </w:r>
      <w:r>
        <w:rPr>
          <w:szCs w:val="26"/>
        </w:rPr>
        <w:t xml:space="preserve">и его исполнению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 Передача Имущества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51"/>
        </w:numPr>
        <w:ind w:left="40" w:right="6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134" w:leader="none"/>
          <w:tab w:val="clear" w:pos="9360" w:leader="none"/>
        </w:tabs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по форме Приложения № 1 к настоящему Дого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вору.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Одновременно с подписанием акта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Сторонами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подписывается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Акт приема-передачи зданий (сооружений) ОС-1а (по форме Приложения №2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овору)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</w:p>
    <w:p>
      <w:pPr>
        <w:pStyle w:val="1163"/>
        <w:numPr>
          <w:ilvl w:val="0"/>
          <w:numId w:val="152"/>
        </w:numPr>
        <w:ind w:left="40" w:right="6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134" w:leader="none"/>
          <w:tab w:val="clear" w:pos="9360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Передача Имущества должна быть осуществлена в течени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(Де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сяти)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ра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бочих дней со дня исполнения Покупателем в полном объеме своих обязательств по оплате Имущества.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163"/>
        <w:numPr>
          <w:ilvl w:val="0"/>
          <w:numId w:val="153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 момента по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дписания Сторонами акта приема-передачи Имущества, указанного в пункте 3.1. настоящего Догов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54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Право пользования, обязательства и расходы по содержанию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 эксплуатации и ремонту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Имущества переходят с Продавца на Покупателя со дня подписания акта приема- передачи.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55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Имущество приобретается Покупателем в состоянии «как есть». Покупатель до заключения настоящего Договора ознакомлен с техническим состоянием Имущества и претензий к нему не имеет.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Переход права собственности на Имущество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163"/>
        <w:numPr>
          <w:ilvl w:val="0"/>
          <w:numId w:val="156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1008" w:leader="none"/>
          <w:tab w:val="righ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0" w:right="0" w:firstLine="567"/>
        <w:jc w:val="both"/>
        <w:spacing w:before="0" w:beforeAutospacing="0" w:after="0" w:afterAutospacing="0" w:line="295" w:lineRule="exact"/>
        <w:tabs>
          <w:tab w:val="left" w:pos="1008" w:leader="none"/>
          <w:tab w:val="righ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t xml:space="preserve">Право собственности на движимое Имущество переходит к Покупателю с момента подписания Сторонами акта приема-передачи Имущества.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57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3" w:leader="none"/>
          <w:tab w:val="righ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Расходы, связанные с государственной регистрацией перехода права собственности, несет Покупатель.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 Права и обязанности 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ind w:left="40" w:firstLine="567"/>
        <w:jc w:val="both"/>
        <w:spacing w:before="0" w:beforeAutospacing="0" w:after="0" w:afterAutospacing="0" w:line="295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Style w:val="1157"/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5.1.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Покупатель обязан: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5.1.1.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полном объеме произвести расчет с Продавцом в сумме и в порядке, указанные в пунктах 2.1. - 2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5.1.2. Принять Имущество по акту приёма-передачи в порядке и сроки, которые предусмотрены настоящим Договором.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В течение 7 (Семи) рабочих дней с даты подписания акта приема-передачи Имущества осуществить действия, направленные на государственную ре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с заявлением о проведении государственной регистрации перехода права собственности на Имущество.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2"/>
          <w:numId w:val="15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2"/>
          <w:numId w:val="15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clear" w:pos="9360" w:leader="non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Заключить соглашение о переуступке от Продавца в пользу Покупателя прав и обязанностей по договору  аренды земельного участка, указанных в п. 1.2 настоящего Договора, с последующей передачей данного соглашения в регистрирующи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 орган, при этом каждая из сторон обязана выполнить все зависящие от нее действия, в том числе (но не ограничиваясь ими) получение необходимых согласий, разрешений, направление уведомлений и т.п., связанные с заключением и регистрацией данного соглашения.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1163"/>
        <w:numPr>
          <w:ilvl w:val="2"/>
          <w:numId w:val="15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Вернуть Продавцу экземпляр подписанного Покупателем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 Акта приема-передачи зданий (сооружений) ОС-1а (по форме Приложения №2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овору)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течение 10 (десяти) рабочих дней с даты предоставления указанного документа Продавцом Покупателю.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2"/>
          <w:numId w:val="15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right" w:pos="144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Не позднее 5 (Пяти) календарных дней с момента заключения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 Покупатель обязан предоставить Продавцу информацию (по форме, установленной ПАО «РусГидро») в отношении всей цепочки собственников (учредителей, участников, а также бенефициаров, в том числе конечных) с подтверждением соответствующими документами.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585" w:right="20" w:firstLine="0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right" w:pos="144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numPr>
          <w:ilvl w:val="0"/>
          <w:numId w:val="158"/>
        </w:numPr>
        <w:ind w:left="40" w:firstLine="567"/>
        <w:jc w:val="both"/>
        <w:spacing w:before="0" w:beforeAutospacing="0" w:after="0" w:afterAutospacing="0" w:line="295" w:lineRule="exact"/>
        <w:shd w:val="clear" w:color="auto" w:fill="auto"/>
        <w:tabs>
          <w:tab w:val="left" w:pos="990" w:leader="none"/>
          <w:tab w:val="left" w:pos="116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Продавец обязан: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5.2.1. Передать Имущество по акту приема-передачи имущества в соответствии с пунктом 3.1.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  <w:t xml:space="preserve">5.2.2. В течение 7 (Семи) рабочих дней с даты подписания акта приема-передачи Имущества осуществить действия, направленные на государственную ре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с заявлением о проведении государственной регистрации перехода права собственности на Имущество.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5.2.3.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течение 30-ти рабочих дней </w:t>
      </w:r>
      <w:r>
        <w:rPr>
          <w:szCs w:val="26"/>
        </w:rPr>
        <w:t xml:space="preserve">с момента перехода </w:t>
      </w:r>
      <w:r>
        <w:rPr>
          <w:szCs w:val="26"/>
        </w:rPr>
        <w:tab/>
        <w:t xml:space="preserve">права собственности на недвижимое Имущество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Продавец обязуется переуступить права по договору  аренды земельного  участка, указанного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в п. 1.2 настоящего Договора.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163"/>
        <w:ind w:left="0" w:right="20" w:firstLine="0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right" w:pos="144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5.2.4. Предоставить Покупателю первичные документы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Имущество: Акт приема-передачи зданий (сооружений) ОС-1а (по форме Приложения №2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овору)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5.2.5. Предоставить Покупателю Универсальный передаточный документ (УПД), </w:t>
      </w:r>
      <w:r>
        <w:t xml:space="preserve">оформленный в соответствии с требованиями действующего законодательства Российской Федерации</w:t>
      </w:r>
      <w: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tabs>
          <w:tab w:val="left" w:pos="990" w:leader="none"/>
          <w:tab w:val="clear" w:pos="9360" w:leader="none"/>
        </w:tabs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5.2.6.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Обязательство Продавца по передаче Имущества считается исполненным с даты подписания Сторонами Акта приема-пе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редачи имущества (по форме Приложению № 1 к Договору)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Акта приема-передачи зданий (сооружений) ОС-1а (по форме Приложения №2 к Дог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овору)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6. Срок действия договора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60" w:right="40" w:firstLine="567"/>
        <w:jc w:val="both"/>
        <w:spacing w:before="0" w:beforeAutospacing="0" w:after="0" w:afterAutospacing="0" w:line="292" w:lineRule="exact"/>
        <w:tabs>
          <w:tab w:val="left" w:pos="990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1163"/>
        <w:ind w:left="60" w:right="40" w:firstLine="567"/>
        <w:jc w:val="both"/>
        <w:spacing w:before="0" w:beforeAutospacing="0" w:after="0" w:afterAutospacing="0" w:line="29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7. Ответственность 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1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54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2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0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неисполнения Покупателем обязательств по оплате Имущества в порядке, сумме и сроки, ус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тановленные пунктом 2.2. настоящего Договора, а также обязательства, установленного в пункте 5.1.3.,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60" w:right="40" w:firstLine="567"/>
        <w:jc w:val="both"/>
        <w:spacing w:before="0" w:beforeAutospacing="0" w:after="0" w:afterAutospacing="0"/>
        <w:tabs>
          <w:tab w:val="left" w:pos="99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3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39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szCs w:val="26"/>
          <w:highlight w:val="white"/>
        </w:rPr>
        <w:t xml:space="preserve">В случае отказа Покупателя от оплаты Имущества, задаток, внесенный Покупателем в соответствии с п. 2.2.1 и п. 2.4 настоящего Договора, в сумме ___ (___) рублей __ коп. Покупателю не возвращается.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163"/>
        <w:numPr>
          <w:ilvl w:val="0"/>
          <w:numId w:val="163"/>
        </w:numPr>
        <w:ind w:left="60" w:right="4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039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просрочки исполнения Покупателем обязательств, предусмотренных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п. 2.2.2 настоящего Договора,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либо отказа от исполнения указанных обязательств,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Покупатель уплачивает Продавцу неустойку в размере 0,2 (ноль целых две десятых) процента от указанной в пункте 2.1 настоящего Договора цены Имущества за каждый день просрочки.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4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5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неисполнения Покуп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ателем обязательств, предусмотренных пунктами 5.1.2 и 5.1.3 настоящего договора, Покупатель уплачивает Продавцу неустойку в размере 0,2 (ноль целых две десятых) процента от указанной в пункте 2.1 настоящего Договора цены Имущества за каждый день просрочки.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4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163"/>
        <w:ind w:left="40" w:right="4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8. Прочие условия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5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1005" w:leader="none"/>
          <w:tab w:val="left" w:pos="108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Любые изменения, кроме изменений существенных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условий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Договора, и дополнения к настоящему Договору действительны только в том случае, если они совершены в письменной форме и подписаны уполномоченными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то представителями Сторон.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6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Существенные условия Договора изменениям не подлежат.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6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</w:r>
      <w:r>
        <w:rPr>
          <w:szCs w:val="26"/>
          <w:highlight w:val="white"/>
        </w:rPr>
        <w:t xml:space="preserve">Документы, переданные при совершении сделки, с использованием электронной почты признаются сторонами, как имеющие юридическую силу при условии последующего направления в 30-дневный срок подлинных документов в подтверждение копии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163"/>
        <w:numPr>
          <w:ilvl w:val="0"/>
          <w:numId w:val="166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пунктом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8.5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Договора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6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Письма, уведомления и / или сообщения направляются Стороне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получателю по адресу ее места нахождения, указанному в разделе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или в ранее полученном уведомлении Стороны об изменении адреса, одним из следующих способов, при этом документ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будет считаться полученным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right="40" w:firstLine="63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аказным почтовым отправлением с уведомлением о вручении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right="40" w:firstLine="56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 д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right="40" w:firstLine="56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 п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осредством электронной почты (</w:t>
      </w:r>
      <w:r>
        <w:rPr>
          <w:rFonts w:ascii="Times New Roman" w:hAnsi="Times New Roman" w:eastAsia="Times New Roman" w:cs="Times New Roman"/>
          <w:bCs/>
          <w:sz w:val="26"/>
          <w:szCs w:val="26"/>
          <w:lang w:val="en-US"/>
        </w:rPr>
        <w:t xml:space="preserve">e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bCs/>
          <w:sz w:val="26"/>
          <w:szCs w:val="26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) – в дату направления электронного сообщения, зафиксированную на почтовом сервере отправителя.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1223"/>
        <w:ind w:right="40" w:firstLine="56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настоящем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пункт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е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7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73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Все споры и разногласия по настоящему Договору разрешаются Сторонами путем переговоров. Стороны устанавливают, что все возможные претензии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Арбитражный суд по месту нахождения Продавца.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8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37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Ни одна из Сторон не имеет права, без предварительного письменного согласования с другой Стороной, полностью или частично передать третьему лицу обязательства по исполнению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9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26" w:leader="none"/>
          <w:tab w:val="left" w:pos="122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независимо от того, когда была представлена такая информация: до, в процессе или по истечении срока действия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4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0"/>
        </w:numPr>
        <w:ind w:left="9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62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 всем остальном, что не предусмотрено настоящим Договором, Стороны руководствуются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действующим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9. Форс-мажор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1163"/>
        <w:numPr>
          <w:ilvl w:val="0"/>
          <w:numId w:val="171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Стороны освобождаются от ответственности за неис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2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11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3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11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Сторона, для которой наступили обстоятельства непреодолимой силы, должна незамедлительно, но в любом случае не позднее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4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09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Надлежащим (достаточным) доказательством наличия / возникновения и пр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4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09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Отсутствие уведомления ил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4"/>
        </w:numPr>
        <w:ind w:right="20" w:firstLine="630"/>
        <w:jc w:val="both"/>
        <w:spacing w:before="0" w:beforeAutospacing="0" w:after="0" w:afterAutospacing="0" w:line="299" w:lineRule="exact"/>
        <w:tabs>
          <w:tab w:val="left" w:pos="990" w:leader="none"/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 При этом любая из Сторон вправе отказаться от исполнения Договора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в одностороннем внесудебном порядке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10. Антикоррупционная оговорка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1202"/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10.1. 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После направления письменного уведомления соответствующая Сторона имеет право приостановить исполнение обязательств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Каналы связи Линия доверия Группы РусГидро: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2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Электронная почта: ld@rushydro.ru.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2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2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left="525" w:firstLine="0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numPr>
          <w:ilvl w:val="0"/>
          <w:numId w:val="160"/>
        </w:numPr>
        <w:ind w:right="20"/>
        <w:jc w:val="center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Заверения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11.1. Каждая из Сторон заявляет и подтверждает другой Стороне, что: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является лицом, правомерно осуществляющим свою деятельность в соответствии с законодательством Российской Федерации;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получила все корпоративные одобрени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 Договора органами управления 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и/или иных лиц, необходимые для заключения и исполнения Договора;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лица, подписывающие от имени Сторон Договор, надлежащим образом уполномочены на его подписание;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располагает ресурсами, необходимыми и достаточными для своевременного и надлежащего исполнения обязательств, возник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ающих из Договора или в связи с ним.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  <w:highlight w:val="lightGray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11.2. Покупатель заявляет и заверяет Продавца в том, что на момент заключения Договора </w:t>
      </w:r>
      <w:r>
        <w:rPr>
          <w:rFonts w:ascii="Times New Roman" w:hAnsi="Times New Roman" w:eastAsia="Times New Roman" w:cs="Times New Roman"/>
          <w:sz w:val="26"/>
          <w:szCs w:val="26"/>
          <w:highlight w:val="lightGray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highlight w:val="lightGray"/>
          <w:shd w:val="clear" w:color="auto" w:fill="ffff99"/>
        </w:rPr>
        <w:t xml:space="preserve">указываются обстоятельства, соответствующие статусу Покупателя — юридическое лицо, индивидуальный предприниматель или физическое лицо</w:t>
      </w:r>
      <w:r>
        <w:rPr>
          <w:rFonts w:ascii="Times New Roman" w:hAnsi="Times New Roman" w:eastAsia="Times New Roman" w:cs="Times New Roman"/>
          <w:sz w:val="26"/>
          <w:szCs w:val="26"/>
          <w:highlight w:val="lightGray"/>
        </w:rPr>
        <w:t xml:space="preserve">]:</w:t>
      </w:r>
      <w:r>
        <w:rPr>
          <w:rFonts w:ascii="Times New Roman" w:hAnsi="Times New Roman" w:cs="Times New Roman"/>
          <w:sz w:val="26"/>
          <w:szCs w:val="26"/>
          <w:highlight w:val="lightGray"/>
        </w:rPr>
      </w:r>
      <w:r>
        <w:rPr>
          <w:rFonts w:ascii="Times New Roman" w:hAnsi="Times New Roman" w:cs="Times New Roman"/>
          <w:sz w:val="26"/>
          <w:szCs w:val="26"/>
          <w:highlight w:val="lightGray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lightGray"/>
        </w:rPr>
        <w:t xml:space="preserve">- учредителем / учредителями Покупателя являютс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я лица, не являющиеся массовыми учредителем / учредителями;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руководителем Покупателя является лицо, не являющееся массовым руководителем;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фактически находится по адресу, указанному в Едином государственном реестре юридических лиц/индивидуальных предпринимателей/паспорте физического лица;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своевременно и в полном объеме уплачивает налоги и сборы в соответствии с законодательством Российской Федерации;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раничиваясь: решения судов различных юрисдикций, решения органов государственной власти и должностных лиц, иные обстоятельства, способные повлиять на возможность Покупателя должным образом исполнять обязательства, возникающие из Договора или в связи с ним;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тщательно изучил всю информацию, связанную с Договоро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м, в том числе по вопросам, влияющим на сроки, стоимость и качество Имущества, полностью ознакомлен со всеми условиями продажи Имущества, и принимает на себя все расходы, риски и трудности исполнения обязательств, возникающих из Договора или в связи с ним;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вся информация, предоставленная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Продавцу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является достоверной, полной и точной, и Покупатель не скрыл никаких обстоятельств, которые при их обнаружении могли бы негативно повлиять на решение Продавца заключить Договор на указанных в нем условиях.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5"/>
        <w:ind w:firstLine="525"/>
        <w:spacing w:before="0" w:beforeAutospacing="0" w:after="0" w:afterAutospacing="0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11.3. При заключении и исполнении Договора каждая Сторона полагается на достоверность, точность и полноту заверений другой Стороны, изложенных в настоящем разделе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11.4. В случае, если Покупатель при заключении Договора предоставил Продавцу недостоверные заверения о любом из указанных в настоящем раз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деле Договора обстоятельств, имеющих существенное значение для заключения и исполнения Договора, Покупатель обязан по письменному требованию Продавца уплатить последнему штраф в размере 5 (пяти) процентов от цены Имущества, указанной в пункте 2.1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25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11.5. Недостоверность, неточность или неполнота любых указанных в настоящем разделе Договора обстоятельств в значительной степени лишает получ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163"/>
        <w:ind w:right="20" w:firstLine="525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 Заключительные положения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00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если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договор заключается в бумажной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 составлен в двух экземплярах, имеющих равную юридическую силу, один - для Покупателя, один - для Продавца.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если договор заключается в электронной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 заключается в электронн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«УКЭП») уполномоченных представителей Сторон.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12.2.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Уступка (передача), в том числе в залог, прав требований к Продавцу по денежным обязательствам, принадлежащим Покупателю на основании Договора, допускается только с предварительного письменного согласия Продавца и оформляется трёхсторонним Договором.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left="90" w:right="40" w:firstLine="520"/>
        <w:jc w:val="both"/>
        <w:spacing w:before="0" w:beforeAutospacing="0" w:after="0" w:afterAutospacing="0" w:line="295" w:lineRule="exact"/>
        <w:tabs>
          <w:tab w:val="left" w:pos="1152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12.3.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Все приложения к Договору, а также любые изменения и дополнения, оформленные надлежащим образом, являются неотъемлемой частью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right="40" w:firstLine="630"/>
        <w:jc w:val="both"/>
        <w:spacing w:before="0" w:beforeAutospacing="0" w:after="0" w:afterAutospacing="0" w:line="295" w:lineRule="exact"/>
        <w:tabs>
          <w:tab w:val="left" w:pos="1062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12.4.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Во всем остальном, что не предусмотрено настоящим Договором, Стороны руководствуются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действующим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 Перечень приложений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0"/>
        <w:jc w:val="both"/>
        <w:spacing w:before="0" w:beforeAutospacing="0" w:after="0" w:afterAutospacing="0" w:line="266" w:lineRule="exact"/>
        <w:tabs>
          <w:tab w:val="left" w:pos="990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1: Акт приема-передачи 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(форма).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1163"/>
        <w:ind w:left="20" w:right="20" w:firstLine="0"/>
        <w:jc w:val="both"/>
        <w:spacing w:before="0" w:beforeAutospacing="0" w:after="0" w:afterAutospacing="0" w:line="266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2: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Акт приема-передачи здания (сооружения) ОС-1а (форма).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14.  Реквизиты и подписи сторон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tbl>
      <w:tblPr>
        <w:tblW w:w="10001" w:type="dxa"/>
        <w:jc w:val="center"/>
        <w:tblLayout w:type="fixed"/>
        <w:tblLook w:val="04A0" w:firstRow="1" w:lastRow="0" w:firstColumn="1" w:lastColumn="0" w:noHBand="0" w:noVBand="1"/>
      </w:tblPr>
      <w:tblGrid>
        <w:gridCol w:w="5142"/>
        <w:gridCol w:w="4859"/>
      </w:tblGrid>
      <w:tr>
        <w:tblPrEx/>
        <w:trPr>
          <w:jc w:val="center"/>
          <w:trHeight w:val="288"/>
        </w:trPr>
        <w:tc>
          <w:tcPr>
            <w:tcW w:w="5142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ПРОДАВЕЦ: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ПОКУПАТЕЛЬ: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4598"/>
        </w:trPr>
        <w:tc>
          <w:tcPr>
            <w:tcW w:w="51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ПРОДАВЕЦ: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АО «ДГК»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Место нахождения: Российская Федерация,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Хабаровск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Адрес: 680000, Хабаровский край,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Хабаровск, ул. Фрунзе, д.49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Адрес  СП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Нерюнгринская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ГРЭС»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(для корреспонденци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и):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г.Нерюнгри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Серебряный Бор,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widowControl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ИНН 1434031363, КПП 997650001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6"/>
                <w:szCs w:val="26"/>
              </w:rPr>
              <w:t xml:space="preserve">Наименование банка: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Дальневосточный банк ПАО Сбербанк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Хабаровск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БИК: 040813608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К/с: 30101810600000000608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Р/с: 40702810270000008818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_________________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</w:rPr>
              <w:t xml:space="preserve">________________/_______________/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color w:val="000000" w:themeColor="text1"/>
                <w:sz w:val="26"/>
                <w:szCs w:val="26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trike w:val="0"/>
                <w:color w:val="000000" w:themeColor="text1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color w:val="000000" w:themeColor="text1"/>
                <w:sz w:val="26"/>
                <w:szCs w:val="26"/>
              </w:rPr>
              <w:t xml:space="preserve">«___» _____________ 2026 г.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</w:rPr>
              <w:t xml:space="preserve">    «___» _____________ 2026 г.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</w:tr>
    </w:tbl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color w:val="000000" w:themeColor="text1"/>
          <w:sz w:val="26"/>
          <w:szCs w:val="26"/>
        </w:rPr>
        <w:sectPr>
          <w:footnotePr/>
          <w:endnotePr/>
          <w:type w:val="nextColumn"/>
          <w:pgSz w:w="11906" w:h="16838" w:orient="portrait"/>
          <w:pgMar w:top="567" w:right="567" w:bottom="822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№1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договору купли-продажи имущества АО «ДГК»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№______</w:t>
      </w:r>
      <w:r>
        <w:rPr>
          <w:rFonts w:ascii="Times New Roman" w:hAnsi="Times New Roman" w:cs="Times New Roman"/>
          <w:sz w:val="26"/>
          <w:szCs w:val="26"/>
        </w:rPr>
        <w:t xml:space="preserve">________ от  «___»__________202  </w:t>
      </w:r>
      <w:r>
        <w:rPr>
          <w:rFonts w:ascii="Times New Roman" w:hAnsi="Times New Roman" w:cs="Times New Roman"/>
          <w:sz w:val="26"/>
          <w:szCs w:val="26"/>
        </w:rPr>
        <w:t xml:space="preserve">г.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hd w:val="clear" w:color="auto" w:fill="ffffff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  <w:t xml:space="preserve">АКТ </w:t>
      </w:r>
      <w:r>
        <w:rPr>
          <w:rFonts w:ascii="Times New Roman" w:hAnsi="Times New Roman"/>
          <w:bCs/>
          <w:sz w:val="26"/>
          <w:szCs w:val="26"/>
        </w:rPr>
        <w:t xml:space="preserve">приема-передачи </w:t>
      </w:r>
      <w:r>
        <w:rPr>
          <w:rFonts w:ascii="Times New Roman" w:hAnsi="Times New Roman"/>
          <w:sz w:val="26"/>
          <w:szCs w:val="26"/>
          <w:highlight w:val="none"/>
        </w:rPr>
        <w:t xml:space="preserve">имущества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highlight w:val="none"/>
        </w:rPr>
        <w:t xml:space="preserve">ФОРМА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hd w:val="clear" w:color="auto" w:fill="ffff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п. Серебряный Бор                    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«</w:t>
      </w:r>
      <w:r>
        <w:rPr>
          <w:rFonts w:ascii="Times New Roman" w:hAnsi="Times New Roman"/>
          <w:bCs/>
          <w:sz w:val="26"/>
          <w:szCs w:val="26"/>
        </w:rPr>
        <w:t xml:space="preserve">____» __________ 2026 г.               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contextualSpacing w:val="0"/>
        <w:jc w:val="both"/>
        <w:spacing w:before="0" w:after="0" w:line="240" w:lineRule="auto"/>
        <w:shd w:val="clear" w:color="auto" w:fill="ffffff"/>
        <w:tabs>
          <w:tab w:val="left" w:pos="8364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426"/>
        <w:jc w:val="both"/>
        <w:spacing w:before="0"/>
        <w:rPr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  <w:t xml:space="preserve">Акционерное общество «Дальневосточная генерирующая компания» (АО «ДГК»), именуемое в дальнейшем «Продавец», в лице __________</w:t>
      </w:r>
      <w:r>
        <w:rPr>
          <w:sz w:val="26"/>
          <w:szCs w:val="26"/>
          <w:highlight w:val="white"/>
        </w:rPr>
        <w:t xml:space="preserve">, действующего на основании ___________, с одной стороны, </w:t>
      </w:r>
      <w:r>
        <w:rPr>
          <w:sz w:val="26"/>
          <w:szCs w:val="26"/>
          <w:highlight w:val="white"/>
        </w:rPr>
        <w:t xml:space="preserve">и</w:t>
      </w:r>
      <w:r>
        <w:rPr>
          <w:sz w:val="26"/>
          <w:szCs w:val="26"/>
          <w:highlight w:val="white"/>
          <w14:ligatures w14:val="none"/>
        </w:rPr>
      </w:r>
      <w:r>
        <w:rPr>
          <w:sz w:val="26"/>
          <w:szCs w:val="26"/>
          <w:highlight w:val="white"/>
          <w14:ligatures w14:val="none"/>
        </w:rPr>
      </w:r>
    </w:p>
    <w:p>
      <w:pPr>
        <w:ind w:firstLine="567"/>
        <w:tabs>
          <w:tab w:val="left" w:pos="990" w:leader="none"/>
        </w:tabs>
        <w:rPr>
          <w:highlight w:val="white"/>
          <w:u w:val="none"/>
        </w:rPr>
      </w:pPr>
      <w:r>
        <w:rPr>
          <w:highlight w:val="white"/>
        </w:rPr>
        <w:t xml:space="preserve"> </w:t>
      </w:r>
      <w:r>
        <w:rPr>
          <w:highlight w:val="white"/>
          <w:shd w:val="clear" w:color="auto" w:fill="ffff99"/>
        </w:rPr>
        <w:t xml:space="preserve">для юридического лица</w:t>
      </w:r>
      <w:r>
        <w:rPr>
          <w:highlight w:val="white"/>
        </w:rPr>
        <w:t xml:space="preserve">: </w:t>
      </w:r>
      <w:r>
        <w:rPr>
          <w:highlight w:val="white"/>
          <w:u w:val="none"/>
        </w:rPr>
        <w:t xml:space="preserve">_______________________(полное наименование Покупателя) (сокращенное наименование Покупателя),</w:t>
      </w:r>
      <w:r>
        <w:rPr>
          <w:highlight w:val="white"/>
          <w:u w:val="none"/>
        </w:rPr>
        <w:t xml:space="preserve"> </w:t>
      </w:r>
      <w:r>
        <w:rPr>
          <w:highlight w:val="white"/>
        </w:rPr>
        <w:t xml:space="preserve">именуемое в </w:t>
      </w:r>
      <w:r>
        <w:rPr>
          <w:highlight w:val="white"/>
        </w:rPr>
        <w:t xml:space="preserve">дальнейшем «Покупатель»</w:t>
      </w:r>
      <w:r>
        <w:rPr>
          <w:highlight w:val="white"/>
        </w:rPr>
        <w:t xml:space="preserve">, в лице ____________», действующего на основании _______________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firstLine="567"/>
        <w:tabs>
          <w:tab w:val="left" w:pos="990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  <w:shd w:val="clear" w:color="auto" w:fill="ffff99"/>
        </w:rPr>
        <w:t xml:space="preserve">для физического лица - </w:t>
      </w:r>
      <w:r>
        <w:rPr>
          <w:highlight w:val="white"/>
          <w:shd w:val="clear" w:color="auto" w:fill="ffff99"/>
        </w:rPr>
        <w:t xml:space="preserve"> </w:t>
      </w:r>
      <w:r>
        <w:rPr>
          <w:highlight w:val="white"/>
          <w:shd w:val="clear" w:color="auto" w:fill="ffff99"/>
        </w:rPr>
        <w:t xml:space="preserve">гражданин РФ </w:t>
      </w:r>
      <w:r>
        <w:rPr>
          <w:highlight w:val="white"/>
          <w:shd w:val="clear" w:color="auto" w:fill="ffff99"/>
        </w:rPr>
        <w:t xml:space="preserve">_____________(ФИО)</w:t>
      </w:r>
      <w:r>
        <w:rPr>
          <w:highlight w:val="white"/>
          <w:shd w:val="clear" w:color="auto" w:fill="ffff99"/>
        </w:rPr>
        <w:t xml:space="preserve">,</w:t>
      </w:r>
      <w:r>
        <w:rPr>
          <w:highlight w:val="white"/>
          <w:shd w:val="clear" w:color="auto" w:fill="ffff99"/>
        </w:rPr>
        <w:t xml:space="preserve"> </w:t>
      </w:r>
      <w:r>
        <w:rPr>
          <w:highlight w:val="white"/>
          <w:shd w:val="clear" w:color="auto" w:fill="ffff99"/>
        </w:rPr>
        <w:t xml:space="preserve">и</w:t>
      </w:r>
      <w:r>
        <w:rPr>
          <w:highlight w:val="white"/>
          <w:shd w:val="clear" w:color="auto" w:fill="ffff99"/>
        </w:rPr>
        <w:t xml:space="preserve">м</w:t>
      </w:r>
      <w:r>
        <w:rPr>
          <w:highlight w:val="white"/>
          <w:shd w:val="clear" w:color="auto" w:fill="ffff99"/>
        </w:rPr>
        <w:t xml:space="preserve">е</w:t>
      </w:r>
      <w:r>
        <w:rPr>
          <w:highlight w:val="white"/>
          <w:shd w:val="clear" w:color="auto" w:fill="ffff99"/>
        </w:rPr>
        <w:t xml:space="preserve">н</w:t>
      </w:r>
      <w:r>
        <w:rPr>
          <w:highlight w:val="white"/>
          <w:shd w:val="clear" w:color="auto" w:fill="ffff99"/>
        </w:rPr>
        <w:t xml:space="preserve">у</w:t>
      </w:r>
      <w:r>
        <w:rPr>
          <w:highlight w:val="white"/>
          <w:shd w:val="clear" w:color="auto" w:fill="ffff99"/>
        </w:rPr>
        <w:t xml:space="preserve">е</w:t>
      </w:r>
      <w:r>
        <w:rPr>
          <w:highlight w:val="white"/>
          <w:shd w:val="clear" w:color="auto" w:fill="ffff99"/>
        </w:rPr>
        <w:t xml:space="preserve">м</w:t>
      </w:r>
      <w:r>
        <w:rPr>
          <w:highlight w:val="white"/>
          <w:shd w:val="clear" w:color="auto" w:fill="ffff99"/>
        </w:rPr>
        <w:t xml:space="preserve">ы</w:t>
      </w:r>
      <w:r>
        <w:rPr>
          <w:highlight w:val="white"/>
          <w:shd w:val="clear" w:color="auto" w:fill="ffff99"/>
        </w:rPr>
        <w:t xml:space="preserve">й</w:t>
      </w:r>
      <w:r>
        <w:rPr>
          <w:highlight w:val="white"/>
          <w:shd w:val="clear" w:color="auto" w:fill="ffff99"/>
        </w:rPr>
        <w:t xml:space="preserve"> </w:t>
      </w:r>
      <w:r>
        <w:rPr>
          <w:highlight w:val="white"/>
          <w:shd w:val="clear" w:color="auto" w:fill="ffff99"/>
        </w:rPr>
        <w:t xml:space="preserve">в</w:t>
      </w:r>
      <w:r>
        <w:rPr>
          <w:highlight w:val="white"/>
          <w:shd w:val="clear" w:color="auto" w:fill="ffff99"/>
        </w:rPr>
        <w:t xml:space="preserve"> </w:t>
      </w:r>
      <w:r>
        <w:rPr>
          <w:highlight w:val="white"/>
          <w:shd w:val="clear" w:color="auto" w:fill="ffff99"/>
        </w:rPr>
        <w:t xml:space="preserve">д</w:t>
      </w:r>
      <w:r>
        <w:rPr>
          <w:highlight w:val="white"/>
          <w:shd w:val="clear" w:color="auto" w:fill="ffff99"/>
        </w:rPr>
        <w:t xml:space="preserve">а</w:t>
      </w:r>
      <w:r>
        <w:rPr>
          <w:highlight w:val="white"/>
          <w:shd w:val="clear" w:color="auto" w:fill="ffff99"/>
        </w:rPr>
        <w:t xml:space="preserve">л</w:t>
      </w:r>
      <w:r>
        <w:rPr>
          <w:highlight w:val="white"/>
          <w:shd w:val="clear" w:color="auto" w:fill="ffff99"/>
        </w:rPr>
        <w:t xml:space="preserve">ь</w:t>
      </w:r>
      <w:r>
        <w:rPr>
          <w:highlight w:val="white"/>
          <w:shd w:val="clear" w:color="auto" w:fill="ffff99"/>
        </w:rPr>
        <w:t xml:space="preserve">н</w:t>
      </w:r>
      <w:r>
        <w:rPr>
          <w:highlight w:val="white"/>
          <w:shd w:val="clear" w:color="auto" w:fill="ffff99"/>
        </w:rPr>
        <w:t xml:space="preserve">е</w:t>
      </w:r>
      <w:r>
        <w:rPr>
          <w:highlight w:val="white"/>
          <w:shd w:val="clear" w:color="auto" w:fill="ffff99"/>
        </w:rPr>
        <w:t xml:space="preserve">й</w:t>
      </w:r>
      <w:r>
        <w:rPr>
          <w:highlight w:val="white"/>
          <w:shd w:val="clear" w:color="auto" w:fill="ffff99"/>
        </w:rPr>
        <w:t xml:space="preserve">шем «Покупатель» 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tabs>
          <w:tab w:val="left" w:pos="990" w:leader="none"/>
        </w:tabs>
        <w:rPr>
          <w:highlight w:val="white"/>
        </w:rPr>
      </w:pPr>
      <w:r>
        <w:rPr>
          <w:highlight w:val="white"/>
          <w:shd w:val="clear" w:color="auto" w:fill="ffff99"/>
        </w:rPr>
        <w:t xml:space="preserve">для индивидуального предпринимателя - </w:t>
      </w:r>
      <w:r>
        <w:rPr>
          <w:highlight w:val="white"/>
          <w:shd w:val="clear" w:color="auto" w:fill="ffff99"/>
        </w:rPr>
        <w:t xml:space="preserve">_______________ (ФИО), зарегистрированный в ЕГРИП (дата) за ОГРНИП ______________,</w:t>
      </w:r>
      <w:r>
        <w:rPr>
          <w:highlight w:val="white"/>
        </w:rPr>
        <w:t xml:space="preserve">именуемое (-ый, -ая) в </w:t>
      </w:r>
      <w:r>
        <w:rPr>
          <w:highlight w:val="white"/>
        </w:rPr>
        <w:t xml:space="preserve">дальнейшем «Покупатель»,</w:t>
      </w:r>
      <w:r>
        <w:rPr>
          <w:highlight w:val="white"/>
        </w:rPr>
        <w:t xml:space="preserve"> </w:t>
      </w:r>
      <w:r>
        <w:rPr>
          <w:highlight w:val="white"/>
        </w:rPr>
        <w:t xml:space="preserve"> с другой стороны,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t xml:space="preserve">а вместе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именуемые «Стороны»,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подписали настоящий акт приема-передачи о нижеследующем: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175"/>
        </w:numPr>
        <w:contextualSpacing/>
        <w:ind w:left="0" w:firstLine="630"/>
        <w:spacing w:before="0" w:beforeAutospacing="0" w:after="0" w:afterAutospacing="0" w:line="276" w:lineRule="auto"/>
        <w:tabs>
          <w:tab w:val="left" w:pos="709" w:leader="none"/>
          <w:tab w:val="left" w:pos="900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Продавец передает Покупателю, а Покупатель принимает в соответствии с условиями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оговора купли-продажи недвижимого имущества от «__» _____20__ г. № ___________ следующее имущество (далее – Имущество):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едвижимое имущество: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Здание (строение)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назначение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нежилое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общая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площадь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5 516,5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кв.м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адрес расположения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Республика Саха (Якутия), г. Нерюнгри, пгт.Серебряный Бор, жилая зона, временная контора СМТ (УС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"ЯЭС")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кадастровый номер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14:19:000000:4270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запись ЕГРН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от 31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.12.2006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14-14-08/016/2006-053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нвентарный номер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00000000000000022826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(далее – Имущество)</w:t>
      </w:r>
      <w:r>
        <w:rPr>
          <w:rFonts w:ascii="Times New Roman" w:hAnsi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/>
          <w:sz w:val="26"/>
          <w:szCs w:val="26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Имуществ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 расположено на земельном участке, принадлежащем  Продавцу на праве аренды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 основании договора аренды земельного участка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№114 от 09.01.2007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кадастровый номер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14:19:209002:193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; номер регистрационной записи обременения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1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4-14-08/007/2007-288 от 02.03.2007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).</w:t>
      </w:r>
      <w:r>
        <w:rPr>
          <w:rFonts w:ascii="Times New Roman" w:hAnsi="Times New Roman"/>
          <w:sz w:val="26"/>
          <w:szCs w:val="26"/>
          <w:highlight w:val="none"/>
          <w:u w:val="none"/>
          <w14:ligatures w14:val="none"/>
        </w:rPr>
      </w:r>
      <w:r>
        <w:rPr>
          <w:rFonts w:ascii="Times New Roman" w:hAnsi="Times New Roman"/>
          <w:sz w:val="26"/>
          <w:szCs w:val="26"/>
          <w:highlight w:val="none"/>
          <w:u w:val="none"/>
          <w14:ligatures w14:val="none"/>
        </w:rPr>
      </w:r>
    </w:p>
    <w:p>
      <w:pPr>
        <w:contextualSpacing/>
        <w:ind w:firstLine="630"/>
        <w:spacing w:before="0" w:beforeAutospacing="0" w:after="0" w:afterAutospacing="0" w:line="276" w:lineRule="auto"/>
        <w:tabs>
          <w:tab w:val="left" w:pos="284" w:leader="none"/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Показания прибора учета электрической энергии _________________________Кв*ч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630"/>
        <w:spacing w:before="0" w:beforeAutospacing="0" w:after="0" w:afterAutospacing="0" w:line="276" w:lineRule="auto"/>
        <w:tabs>
          <w:tab w:val="left" w:pos="284" w:leader="none"/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Показания прибора учета ХВС 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м3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630"/>
        <w:spacing w:before="0" w:beforeAutospacing="0" w:after="0" w:afterAutospacing="0" w:line="276" w:lineRule="auto"/>
        <w:tabs>
          <w:tab w:val="left" w:pos="284" w:leader="none"/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Показания прибора учета ГВС_________________________________________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_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м3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0"/>
          <w:numId w:val="176"/>
        </w:numPr>
        <w:ind w:left="0" w:firstLine="630"/>
        <w:jc w:val="both"/>
        <w:spacing w:before="0" w:beforeAutospacing="0" w:after="0" w:afterAutospacing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Претензий к Продавцу со стороны Покупателя о состоянии Имущества не имеется.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6"/>
        </w:numPr>
        <w:ind w:left="0"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00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если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акт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подписывается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 в бумажной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]Настоящий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составлен в двух экземплярах, имеющих равную юридическую силу, один - для Покупателя, один - для Продавца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[если акт подписывается в электронной 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 Настоящий акт подписан в электронной 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«УКЭП») уполномоченных представителей Сторон.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Акт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both"/>
        <w:spacing w:before="0" w:after="0" w:line="240" w:lineRule="auto"/>
        <w:shd w:val="clear" w:color="auto" w:fill="ffffff"/>
        <w:tabs>
          <w:tab w:val="left" w:pos="8364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643"/>
        <w:gridCol w:w="4996"/>
      </w:tblGrid>
      <w:tr>
        <w:tblPrEx/>
        <w:trPr>
          <w:jc w:val="center"/>
        </w:trPr>
        <w:tc>
          <w:tcPr>
            <w:tcW w:w="4643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От Продавца: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  <w:tc>
          <w:tcPr>
            <w:tcW w:w="4996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От Покупателя: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W w:w="4643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________________ /__________________ /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  <w:tc>
          <w:tcPr>
            <w:tcW w:w="4996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_____________ / ______________ /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  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</w:tr>
    </w:tbl>
    <w:p>
      <w:pPr>
        <w:pStyle w:val="1202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highlight w:val="none"/>
        </w:rPr>
      </w:r>
      <w:r>
        <w:rPr>
          <w:rFonts w:ascii="Times New Roman" w:hAnsi="Times New Roman" w:eastAsia="Times New Roman"/>
          <w:sz w:val="26"/>
          <w:szCs w:val="26"/>
        </w:rPr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pStyle w:val="1202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/>
          <w:sz w:val="26"/>
          <w:highlight w:val="white"/>
        </w:rPr>
        <w:t xml:space="preserve">Форма согласована:</w:t>
      </w:r>
      <w:r>
        <w:rPr>
          <w:rFonts w:ascii="Times New Roman" w:hAnsi="Times New Roman" w:eastAsia="Times New Roman"/>
          <w:sz w:val="26"/>
          <w:szCs w:val="26"/>
          <w:highlight w:val="white"/>
        </w:rPr>
      </w:r>
      <w:r>
        <w:rPr>
          <w:rFonts w:ascii="Times New Roman" w:hAnsi="Times New Roman" w:eastAsia="Times New Roman"/>
          <w:sz w:val="26"/>
          <w:szCs w:val="26"/>
          <w:highlight w:val="white"/>
        </w:rPr>
      </w:r>
    </w:p>
    <w:p>
      <w:pPr>
        <w:pStyle w:val="1202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/>
          <w:sz w:val="26"/>
          <w:szCs w:val="26"/>
          <w:highlight w:val="white"/>
        </w:rPr>
      </w:r>
      <w:r>
        <w:rPr>
          <w:rFonts w:ascii="Times New Roman" w:hAnsi="Times New Roman" w:eastAsia="Times New Roman"/>
          <w:sz w:val="26"/>
          <w:szCs w:val="26"/>
          <w:highlight w:val="white"/>
        </w:rPr>
      </w:r>
      <w:r>
        <w:rPr>
          <w:rFonts w:ascii="Times New Roman" w:hAnsi="Times New Roman" w:eastAsia="Times New Roman"/>
          <w:sz w:val="26"/>
          <w:szCs w:val="26"/>
          <w:highlight w:val="white"/>
        </w:rPr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643"/>
        <w:gridCol w:w="4996"/>
      </w:tblGrid>
      <w:tr>
        <w:tblPrEx/>
        <w:trPr>
          <w:jc w:val="center"/>
        </w:trPr>
        <w:tc>
          <w:tcPr>
            <w:tcW w:w="4643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От Продавца: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W w:w="4996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От Покупателя: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643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________________ /__________________ /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.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W w:w="4996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    _____________ / ______________ /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  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.   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</w:tc>
      </w:tr>
    </w:tbl>
    <w:p>
      <w:pPr>
        <w:pStyle w:val="1202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  <w:highlight w:val="yellow"/>
        </w:rPr>
      </w:pPr>
      <w:r>
        <w:rPr>
          <w:rFonts w:ascii="Times New Roman" w:hAnsi="Times New Roman" w:eastAsia="Times New Roman"/>
          <w:sz w:val="26"/>
          <w:highlight w:val="yellow"/>
        </w:rPr>
      </w:r>
      <w:r>
        <w:rPr>
          <w:rFonts w:ascii="Times New Roman" w:hAnsi="Times New Roman" w:eastAsia="Times New Roman"/>
          <w:sz w:val="26"/>
          <w:szCs w:val="26"/>
          <w:highlight w:val="yellow"/>
        </w:rPr>
      </w:r>
      <w:r>
        <w:rPr>
          <w:rFonts w:ascii="Times New Roman" w:hAnsi="Times New Roman" w:eastAsia="Times New Roman"/>
          <w:sz w:val="26"/>
          <w:szCs w:val="26"/>
          <w:highlight w:val="yellow"/>
        </w:rPr>
      </w:r>
    </w:p>
    <w:p>
      <w:r/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851" w:right="656" w:bottom="851" w:left="1134" w:header="0" w:footer="0" w:gutter="0"/>
      <w:cols w:num="1" w:sep="0" w:space="720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hiryaeva_oa" w:date="2026-04-15T14:36:53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Можно поменять, если необходимо время на инвентаризацию, уведомление сотрудников и др.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31F732A" w16cex:dateUtc="2026-04-15T04:36:5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31F73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Geneva">
    <w:panose1 w:val="02000603000000000000"/>
  </w:font>
  <w:font w:name="Geneva CY">
    <w:panose1 w:val="02000603000000000000"/>
  </w:font>
  <w:font w:name="Consolas">
    <w:panose1 w:val="020B0609020204030204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169"/>
    </w:pPr>
    <w:r/>
    <w:r/>
  </w:p>
  <w:p>
    <w:pPr>
      <w:pStyle w:val="116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1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1003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  <w:tabs>
          <w:tab w:val="num" w:pos="0" w:leader="none"/>
        </w:tabs>
      </w:pPr>
      <w:rPr>
        <w:color w:val="auto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pStyle w:val="1098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pStyle w:val="1187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pStyle w:val="1188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pStyle w:val="1190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101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102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103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104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105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0" w:leader="none"/>
        </w:tabs>
      </w:pPr>
      <w:rPr>
        <w:b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  <w:tabs>
          <w:tab w:val="num" w:pos="0" w:leader="none"/>
        </w:tabs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6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2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280" w:hanging="1800"/>
        <w:tabs>
          <w:tab w:val="num" w:pos="0" w:leader="none"/>
        </w:tabs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multiLevelType w:val="hybridMultilevel"/>
    <w:styleLink w:val="1224"/>
    <w:lvl w:ilvl="0">
      <w:start w:val="1"/>
      <w:numFmt w:val="decimal"/>
      <w:pStyle w:val="1224"/>
      <w:isLgl w:val="false"/>
      <w:suff w:val="tab"/>
      <w:lvlText w:val="8.%1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2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3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4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5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6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7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8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9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2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6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2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280" w:hanging="180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</w:lvl>
    <w:lvl w:ilvl="2">
      <w:start w:val="1"/>
      <w:numFmt w:val="decimal"/>
      <w:pStyle w:val="1099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decimal"/>
      <w:pStyle w:val="1100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1210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2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9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29">
    <w:multiLevelType w:val="hybridMultilevel"/>
    <w:lvl w:ilvl="0">
      <w:start w:val="1"/>
      <w:numFmt w:val="decimal"/>
      <w:pStyle w:val="1211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4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68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22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36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9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8" w:hanging="1800"/>
        <w:tabs>
          <w:tab w:val="num" w:pos="0" w:leader="none"/>
        </w:tabs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  <w:tabs>
          <w:tab w:val="num" w:pos="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128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  <w:tabs>
          <w:tab w:val="num" w:pos="0" w:leader="none"/>
        </w:tabs>
      </w:pPr>
    </w:lvl>
  </w:abstractNum>
  <w:abstractNum w:abstractNumId="3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3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30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6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0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96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8">
    <w:multiLevelType w:val="hybridMultilevel"/>
    <w:lvl w:ilvl="0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326" w:hanging="720"/>
      </w:pPr>
      <w:rPr>
        <w:rFonts w:hint="default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5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23"/>
  </w:num>
  <w:num w:numId="5">
    <w:abstractNumId w:val="29"/>
  </w:num>
  <w:num w:numId="6">
    <w:abstractNumId w:val="0"/>
  </w:num>
  <w:num w:numId="7">
    <w:abstractNumId w:val="11"/>
  </w:num>
  <w:num w:numId="8">
    <w:abstractNumId w:val="27"/>
  </w:num>
  <w:num w:numId="9">
    <w:abstractNumId w:val="2"/>
  </w:num>
  <w:num w:numId="10">
    <w:abstractNumId w:val="19"/>
  </w:num>
  <w:num w:numId="11">
    <w:abstractNumId w:val="31"/>
  </w:num>
  <w:num w:numId="12">
    <w:abstractNumId w:val="22"/>
  </w:num>
  <w:num w:numId="13">
    <w:abstractNumId w:val="4"/>
  </w:num>
  <w:num w:numId="14">
    <w:abstractNumId w:val="32"/>
  </w:num>
  <w:num w:numId="15">
    <w:abstractNumId w:val="30"/>
  </w:num>
  <w:num w:numId="16">
    <w:abstractNumId w:val="35"/>
  </w:num>
  <w:num w:numId="17">
    <w:abstractNumId w:val="7"/>
  </w:num>
  <w:num w:numId="18">
    <w:abstractNumId w:val="15"/>
  </w:num>
  <w:num w:numId="19">
    <w:abstractNumId w:val="20"/>
  </w:num>
  <w:num w:numId="20">
    <w:abstractNumId w:val="1"/>
    <w:lvlOverride w:ilvl="0">
      <w:startOverride w:val="1"/>
    </w:lvlOverride>
  </w:num>
  <w:num w:numId="21">
    <w:abstractNumId w:val="25"/>
    <w:lvlOverride w:ilvl="0">
      <w:startOverride w:val="1"/>
    </w:lvlOverride>
    <w:lvlOverride w:ilvl="1">
      <w:startOverride w:val="2"/>
    </w:lvlOverride>
  </w:num>
  <w:num w:numId="22">
    <w:abstractNumId w:val="25"/>
  </w:num>
  <w:num w:numId="23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0"/>
    <w:lvlOverride w:ilvl="0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3"/>
    <w:lvlOverride w:ilvl="0">
      <w:startOverride w:val="1"/>
    </w:lvlOverride>
  </w:num>
  <w:num w:numId="34">
    <w:abstractNumId w:val="13"/>
  </w:num>
  <w:num w:numId="35">
    <w:abstractNumId w:val="26"/>
    <w:lvlOverride w:ilvl="0">
      <w:startOverride w:val="3"/>
    </w:lvlOverride>
  </w:num>
  <w:num w:numId="36">
    <w:abstractNumId w:val="26"/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12"/>
    <w:lvlOverride w:ilvl="0">
      <w:startOverride w:val="2"/>
    </w:lvlOverride>
  </w:num>
  <w:num w:numId="42">
    <w:abstractNumId w:val="12"/>
  </w:num>
  <w:num w:numId="43">
    <w:abstractNumId w:val="33"/>
    <w:lvlOverride w:ilvl="0">
      <w:startOverride w:val="1"/>
    </w:lvlOverride>
  </w:num>
  <w:num w:numId="44">
    <w:abstractNumId w:val="33"/>
  </w:num>
  <w:num w:numId="45">
    <w:abstractNumId w:val="33"/>
  </w:num>
  <w:num w:numId="46">
    <w:abstractNumId w:val="33"/>
  </w:num>
  <w:num w:numId="47">
    <w:abstractNumId w:val="28"/>
    <w:lvlOverride w:ilvl="0">
      <w:startOverride w:val="1"/>
    </w:lvlOverride>
  </w:num>
  <w:num w:numId="48">
    <w:abstractNumId w:val="28"/>
  </w:num>
  <w:num w:numId="49">
    <w:abstractNumId w:val="28"/>
  </w:num>
  <w:num w:numId="50">
    <w:abstractNumId w:val="28"/>
  </w:num>
  <w:num w:numId="51">
    <w:abstractNumId w:val="28"/>
  </w:num>
  <w:num w:numId="52">
    <w:abstractNumId w:val="28"/>
  </w:num>
  <w:num w:numId="53">
    <w:abstractNumId w:val="28"/>
  </w:num>
  <w:num w:numId="54">
    <w:abstractNumId w:val="8"/>
    <w:lvlOverride w:ilvl="0">
      <w:startOverride w:val="1"/>
    </w:lvlOverride>
  </w:num>
  <w:num w:numId="55">
    <w:abstractNumId w:val="8"/>
  </w:num>
  <w:num w:numId="56">
    <w:abstractNumId w:val="8"/>
  </w:num>
  <w:num w:numId="57">
    <w:abstractNumId w:val="8"/>
  </w:num>
  <w:num w:numId="58">
    <w:abstractNumId w:val="34"/>
    <w:lvlOverride w:ilvl="0">
      <w:startOverride w:val="1"/>
    </w:lvlOverride>
  </w:num>
  <w:num w:numId="59">
    <w:abstractNumId w:val="34"/>
  </w:num>
  <w:num w:numId="60">
    <w:abstractNumId w:val="34"/>
  </w:num>
  <w:num w:numId="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62">
    <w:abstractNumId w:val="6"/>
  </w:num>
  <w:num w:numId="63">
    <w:abstractNumId w:val="6"/>
  </w:num>
  <w:num w:numId="64">
    <w:abstractNumId w:val="6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1">
    <w:abstractNumId w:val="6"/>
  </w:num>
  <w:num w:numId="72">
    <w:abstractNumId w:val="6"/>
  </w:num>
  <w:num w:numId="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4">
    <w:abstractNumId w:val="6"/>
  </w:num>
  <w:num w:numId="75">
    <w:abstractNumId w:val="6"/>
  </w:num>
  <w:num w:numId="76">
    <w:abstractNumId w:val="6"/>
  </w:num>
  <w:num w:numId="77">
    <w:abstractNumId w:val="17"/>
  </w:num>
  <w:num w:numId="78">
    <w:abstractNumId w:val="14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5"/>
  </w:num>
  <w:num w:numId="135">
    <w:abstractNumId w:val="18"/>
  </w:num>
  <w:num w:numId="136">
    <w:abstractNumId w:val="24"/>
  </w:num>
  <w:num w:numId="137">
    <w:abstractNumId w:val="36"/>
  </w:num>
  <w:num w:numId="138">
    <w:abstractNumId w:val="3"/>
  </w:num>
  <w:num w:numId="139">
    <w:abstractNumId w:val="37"/>
  </w:num>
  <w:num w:numId="140">
    <w:abstractNumId w:val="38"/>
  </w:num>
  <w:num w:numId="141">
    <w:abstractNumId w:val="39"/>
    <w:lvlOverride w:ilvl="0">
      <w:startOverride w:val="1"/>
    </w:lvlOverride>
  </w:num>
  <w:num w:numId="142">
    <w:abstractNumId w:val="40"/>
  </w:num>
  <w:num w:numId="143">
    <w:abstractNumId w:val="41"/>
  </w:num>
  <w:num w:numId="144">
    <w:abstractNumId w:val="42"/>
  </w:num>
  <w:num w:numId="145">
    <w:abstractNumId w:val="43"/>
  </w:num>
  <w:num w:numId="146">
    <w:abstractNumId w:val="44"/>
    <w:lvlOverride w:ilvl="0">
      <w:startOverride w:val="1"/>
    </w:lvlOverride>
  </w:num>
  <w:num w:numId="147">
    <w:abstractNumId w:val="45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148">
    <w:abstractNumId w:val="45"/>
  </w:num>
  <w:num w:numId="149">
    <w:abstractNumId w:val="45"/>
  </w:num>
  <w:num w:numId="150">
    <w:abstractNumId w:val="45"/>
  </w:num>
  <w:num w:numId="151">
    <w:abstractNumId w:val="46"/>
    <w:lvlOverride w:ilvl="0">
      <w:startOverride w:val="1"/>
    </w:lvlOverride>
  </w:num>
  <w:num w:numId="152">
    <w:abstractNumId w:val="46"/>
  </w:num>
  <w:num w:numId="153">
    <w:abstractNumId w:val="46"/>
  </w:num>
  <w:num w:numId="154">
    <w:abstractNumId w:val="46"/>
  </w:num>
  <w:num w:numId="155">
    <w:abstractNumId w:val="46"/>
  </w:num>
  <w:num w:numId="156">
    <w:abstractNumId w:val="47"/>
    <w:lvlOverride w:ilvl="0">
      <w:startOverride w:val="1"/>
    </w:lvlOverride>
  </w:num>
  <w:num w:numId="157">
    <w:abstractNumId w:val="47"/>
  </w:num>
  <w:num w:numId="158">
    <w:abstractNumId w:val="48"/>
  </w:num>
  <w:num w:numId="159">
    <w:abstractNumId w:val="49"/>
  </w:num>
  <w:num w:numId="160">
    <w:abstractNumId w:val="50"/>
  </w:num>
  <w:num w:numId="161">
    <w:abstractNumId w:val="51"/>
    <w:lvlOverride w:ilvl="0">
      <w:startOverride w:val="1"/>
    </w:lvlOverride>
  </w:num>
  <w:num w:numId="162">
    <w:abstractNumId w:val="51"/>
  </w:num>
  <w:num w:numId="163">
    <w:abstractNumId w:val="51"/>
  </w:num>
  <w:num w:numId="164">
    <w:abstractNumId w:val="51"/>
  </w:num>
  <w:num w:numId="165">
    <w:abstractNumId w:val="52"/>
    <w:lvlOverride w:ilvl="0">
      <w:startOverride w:val="1"/>
    </w:lvlOverride>
  </w:num>
  <w:num w:numId="166">
    <w:abstractNumId w:val="52"/>
  </w:num>
  <w:num w:numId="167">
    <w:abstractNumId w:val="52"/>
  </w:num>
  <w:num w:numId="168">
    <w:abstractNumId w:val="52"/>
  </w:num>
  <w:num w:numId="169">
    <w:abstractNumId w:val="52"/>
  </w:num>
  <w:num w:numId="170">
    <w:abstractNumId w:val="52"/>
  </w:num>
  <w:num w:numId="171">
    <w:abstractNumId w:val="53"/>
    <w:lvlOverride w:ilvl="0">
      <w:startOverride w:val="1"/>
    </w:lvlOverride>
  </w:num>
  <w:num w:numId="172">
    <w:abstractNumId w:val="53"/>
  </w:num>
  <w:num w:numId="173">
    <w:abstractNumId w:val="53"/>
  </w:num>
  <w:num w:numId="174">
    <w:abstractNumId w:val="53"/>
  </w:num>
  <w:num w:numId="175">
    <w:abstractNumId w:val="54"/>
    <w:lvlOverride w:ilvl="0">
      <w:startOverride w:val="1"/>
    </w:lvlOverride>
  </w:num>
  <w:num w:numId="176">
    <w:abstractNumId w:val="54"/>
  </w:num>
  <w:num w:numId="177">
    <w:abstractNumId w:val="5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ryaeva_oa">
    <w15:presenceInfo w15:providerId="Teamlab" w15:userId="shiryaeva_o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7">
    <w:name w:val="Heading 1 Char"/>
    <w:basedOn w:val="1106"/>
    <w:link w:val="1097"/>
    <w:uiPriority w:val="9"/>
    <w:rPr>
      <w:rFonts w:ascii="Arial" w:hAnsi="Arial" w:eastAsia="Arial" w:cs="Arial"/>
      <w:sz w:val="40"/>
      <w:szCs w:val="40"/>
    </w:rPr>
  </w:style>
  <w:style w:type="character" w:styleId="948">
    <w:name w:val="Heading 2 Char"/>
    <w:basedOn w:val="1106"/>
    <w:link w:val="1098"/>
    <w:uiPriority w:val="9"/>
    <w:rPr>
      <w:rFonts w:ascii="Arial" w:hAnsi="Arial" w:eastAsia="Arial" w:cs="Arial"/>
      <w:sz w:val="34"/>
    </w:rPr>
  </w:style>
  <w:style w:type="character" w:styleId="949">
    <w:name w:val="Heading 3 Char"/>
    <w:basedOn w:val="1106"/>
    <w:link w:val="1099"/>
    <w:uiPriority w:val="9"/>
    <w:rPr>
      <w:rFonts w:ascii="Arial" w:hAnsi="Arial" w:eastAsia="Arial" w:cs="Arial"/>
      <w:sz w:val="30"/>
      <w:szCs w:val="30"/>
    </w:rPr>
  </w:style>
  <w:style w:type="character" w:styleId="950">
    <w:name w:val="Heading 4 Char"/>
    <w:basedOn w:val="1106"/>
    <w:link w:val="1100"/>
    <w:uiPriority w:val="9"/>
    <w:rPr>
      <w:rFonts w:ascii="Arial" w:hAnsi="Arial" w:eastAsia="Arial" w:cs="Arial"/>
      <w:b/>
      <w:bCs/>
      <w:sz w:val="26"/>
      <w:szCs w:val="26"/>
    </w:rPr>
  </w:style>
  <w:style w:type="character" w:styleId="951">
    <w:name w:val="Heading 5 Char"/>
    <w:basedOn w:val="1106"/>
    <w:link w:val="1101"/>
    <w:uiPriority w:val="9"/>
    <w:rPr>
      <w:rFonts w:ascii="Arial" w:hAnsi="Arial" w:eastAsia="Arial" w:cs="Arial"/>
      <w:b/>
      <w:bCs/>
      <w:sz w:val="24"/>
      <w:szCs w:val="24"/>
    </w:rPr>
  </w:style>
  <w:style w:type="character" w:styleId="952">
    <w:name w:val="Heading 6 Char"/>
    <w:basedOn w:val="1106"/>
    <w:link w:val="1102"/>
    <w:uiPriority w:val="9"/>
    <w:rPr>
      <w:rFonts w:ascii="Arial" w:hAnsi="Arial" w:eastAsia="Arial" w:cs="Arial"/>
      <w:b/>
      <w:bCs/>
      <w:sz w:val="22"/>
      <w:szCs w:val="22"/>
    </w:rPr>
  </w:style>
  <w:style w:type="character" w:styleId="953">
    <w:name w:val="Heading 7 Char"/>
    <w:basedOn w:val="1106"/>
    <w:link w:val="11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4">
    <w:name w:val="Heading 8 Char"/>
    <w:basedOn w:val="1106"/>
    <w:link w:val="1104"/>
    <w:uiPriority w:val="9"/>
    <w:rPr>
      <w:rFonts w:ascii="Arial" w:hAnsi="Arial" w:eastAsia="Arial" w:cs="Arial"/>
      <w:i/>
      <w:iCs/>
      <w:sz w:val="22"/>
      <w:szCs w:val="22"/>
    </w:rPr>
  </w:style>
  <w:style w:type="character" w:styleId="955">
    <w:name w:val="Heading 9 Char"/>
    <w:basedOn w:val="1106"/>
    <w:link w:val="1105"/>
    <w:uiPriority w:val="9"/>
    <w:rPr>
      <w:rFonts w:ascii="Arial" w:hAnsi="Arial" w:eastAsia="Arial" w:cs="Arial"/>
      <w:i/>
      <w:iCs/>
      <w:sz w:val="21"/>
      <w:szCs w:val="21"/>
    </w:rPr>
  </w:style>
  <w:style w:type="paragraph" w:styleId="956">
    <w:name w:val="No Spacing"/>
    <w:uiPriority w:val="1"/>
    <w:qFormat/>
    <w:pPr>
      <w:spacing w:before="0" w:after="0" w:line="240" w:lineRule="auto"/>
    </w:pPr>
  </w:style>
  <w:style w:type="character" w:styleId="957">
    <w:name w:val="Title Char"/>
    <w:basedOn w:val="1106"/>
    <w:link w:val="1162"/>
    <w:uiPriority w:val="10"/>
    <w:rPr>
      <w:sz w:val="48"/>
      <w:szCs w:val="48"/>
    </w:rPr>
  </w:style>
  <w:style w:type="paragraph" w:styleId="958">
    <w:name w:val="Subtitle"/>
    <w:basedOn w:val="1096"/>
    <w:next w:val="1096"/>
    <w:link w:val="959"/>
    <w:uiPriority w:val="11"/>
    <w:qFormat/>
    <w:pPr>
      <w:spacing w:before="200" w:after="200"/>
    </w:pPr>
    <w:rPr>
      <w:sz w:val="24"/>
      <w:szCs w:val="24"/>
    </w:rPr>
  </w:style>
  <w:style w:type="character" w:styleId="959">
    <w:name w:val="Subtitle Char"/>
    <w:basedOn w:val="1106"/>
    <w:link w:val="958"/>
    <w:uiPriority w:val="11"/>
    <w:rPr>
      <w:sz w:val="24"/>
      <w:szCs w:val="24"/>
    </w:rPr>
  </w:style>
  <w:style w:type="paragraph" w:styleId="960">
    <w:name w:val="Quote"/>
    <w:basedOn w:val="1096"/>
    <w:next w:val="1096"/>
    <w:link w:val="961"/>
    <w:uiPriority w:val="29"/>
    <w:qFormat/>
    <w:pPr>
      <w:ind w:left="720" w:right="720"/>
    </w:pPr>
    <w:rPr>
      <w:i/>
    </w:rPr>
  </w:style>
  <w:style w:type="character" w:styleId="961">
    <w:name w:val="Quote Char"/>
    <w:link w:val="960"/>
    <w:uiPriority w:val="29"/>
    <w:rPr>
      <w:i/>
    </w:rPr>
  </w:style>
  <w:style w:type="paragraph" w:styleId="962">
    <w:name w:val="Intense Quote"/>
    <w:basedOn w:val="1096"/>
    <w:next w:val="1096"/>
    <w:link w:val="9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3">
    <w:name w:val="Intense Quote Char"/>
    <w:link w:val="962"/>
    <w:uiPriority w:val="30"/>
    <w:rPr>
      <w:i/>
    </w:rPr>
  </w:style>
  <w:style w:type="character" w:styleId="964">
    <w:name w:val="Header Char"/>
    <w:basedOn w:val="1106"/>
    <w:link w:val="1168"/>
    <w:uiPriority w:val="99"/>
  </w:style>
  <w:style w:type="character" w:styleId="965">
    <w:name w:val="Footer Char"/>
    <w:basedOn w:val="1106"/>
    <w:link w:val="1169"/>
    <w:uiPriority w:val="99"/>
  </w:style>
  <w:style w:type="character" w:styleId="966">
    <w:name w:val="Caption Char"/>
    <w:basedOn w:val="1165"/>
    <w:link w:val="1169"/>
    <w:uiPriority w:val="99"/>
  </w:style>
  <w:style w:type="table" w:styleId="967">
    <w:name w:val="Table Grid Light"/>
    <w:basedOn w:val="11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>
    <w:name w:val="Plain Table 1"/>
    <w:basedOn w:val="11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9">
    <w:name w:val="Plain Table 2"/>
    <w:basedOn w:val="11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0">
    <w:name w:val="Plain Table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1">
    <w:name w:val="Plain Table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Plain Table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3">
    <w:name w:val="Grid Table 1 Light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1 Light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Grid Table 1 Light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2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2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3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4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5">
    <w:name w:val="Grid Table 4 - Accent 1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6">
    <w:name w:val="Grid Table 4 - Accent 2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7">
    <w:name w:val="Grid Table 4 - Accent 3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8">
    <w:name w:val="Grid Table 4 - Accent 4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9">
    <w:name w:val="Grid Table 4 - Accent 5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0">
    <w:name w:val="Grid Table 4 - Accent 6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1">
    <w:name w:val="Grid Table 5 Dark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2">
    <w:name w:val="Grid Table 5 Dark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04">
    <w:name w:val="Grid Table 5 Dark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5">
    <w:name w:val="Grid Table 5 Dark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06">
    <w:name w:val="Grid Table 5 Dark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8">
    <w:name w:val="Grid Table 6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9">
    <w:name w:val="Grid Table 6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0">
    <w:name w:val="Grid Table 6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1">
    <w:name w:val="Grid Table 6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2">
    <w:name w:val="Grid Table 6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3">
    <w:name w:val="Grid Table 6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4">
    <w:name w:val="Grid Table 6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5">
    <w:name w:val="Grid Table 7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7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7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1 Light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0">
    <w:name w:val="List Table 2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1">
    <w:name w:val="List Table 2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2">
    <w:name w:val="List Table 2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3">
    <w:name w:val="List Table 2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4">
    <w:name w:val="List Table 2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5">
    <w:name w:val="List Table 2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6">
    <w:name w:val="List Table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3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3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4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5 Dark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5 Dark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4">
    <w:name w:val="List Table 5 Dark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5">
    <w:name w:val="List Table 5 Dark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6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8">
    <w:name w:val="List Table 6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9">
    <w:name w:val="List Table 6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0">
    <w:name w:val="List Table 6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1">
    <w:name w:val="List Table 6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2">
    <w:name w:val="List Table 6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3">
    <w:name w:val="List Table 6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4">
    <w:name w:val="List Table 7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5">
    <w:name w:val="List Table 7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66">
    <w:name w:val="List Table 7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67">
    <w:name w:val="List Table 7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8">
    <w:name w:val="List Table 7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9">
    <w:name w:val="List Table 7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70">
    <w:name w:val="List Table 7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71">
    <w:name w:val="Lined - Accent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2">
    <w:name w:val="Lined - Accent 1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3">
    <w:name w:val="Lined - Accent 2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4">
    <w:name w:val="Lined - Accent 3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5">
    <w:name w:val="Lined - Accent 4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6">
    <w:name w:val="Lined - Accent 5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7">
    <w:name w:val="Lined - Accent 6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8">
    <w:name w:val="Bordered &amp; Lined - Accent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9">
    <w:name w:val="Bordered &amp; Lined - Accent 1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0">
    <w:name w:val="Bordered &amp; Lined - Accent 2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1">
    <w:name w:val="Bordered &amp; Lined - Accent 3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2">
    <w:name w:val="Bordered &amp; Lined - Accent 4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3">
    <w:name w:val="Bordered &amp; Lined - Accent 5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4">
    <w:name w:val="Bordered &amp; Lined - Accent 6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5">
    <w:name w:val="Bordered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6">
    <w:name w:val="Bordered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7">
    <w:name w:val="Bordered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8">
    <w:name w:val="Bordered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9">
    <w:name w:val="Bordered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0">
    <w:name w:val="Bordered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1">
    <w:name w:val="Bordered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92">
    <w:name w:val="Footnote Text Char"/>
    <w:link w:val="1176"/>
    <w:uiPriority w:val="99"/>
    <w:rPr>
      <w:sz w:val="18"/>
    </w:rPr>
  </w:style>
  <w:style w:type="character" w:styleId="1093">
    <w:name w:val="Endnote Text Char"/>
    <w:link w:val="1209"/>
    <w:uiPriority w:val="99"/>
    <w:rPr>
      <w:sz w:val="20"/>
    </w:rPr>
  </w:style>
  <w:style w:type="paragraph" w:styleId="1094">
    <w:name w:val="TOC Heading"/>
    <w:uiPriority w:val="39"/>
    <w:unhideWhenUsed/>
  </w:style>
  <w:style w:type="paragraph" w:styleId="1095">
    <w:name w:val="table of figures"/>
    <w:basedOn w:val="1096"/>
    <w:next w:val="1096"/>
    <w:uiPriority w:val="99"/>
    <w:unhideWhenUsed/>
    <w:pPr>
      <w:spacing w:after="0" w:afterAutospacing="0"/>
    </w:pPr>
  </w:style>
  <w:style w:type="paragraph" w:styleId="1096" w:default="1">
    <w:name w:val="Normal"/>
    <w:qFormat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097">
    <w:name w:val="Heading 1"/>
    <w:basedOn w:val="1096"/>
    <w:next w:val="1096"/>
    <w:link w:val="1109"/>
    <w:qFormat/>
    <w:p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1098">
    <w:name w:val="Heading 2"/>
    <w:basedOn w:val="1096"/>
    <w:next w:val="1096"/>
    <w:link w:val="1118"/>
    <w:qFormat/>
    <w:pPr>
      <w:numPr>
        <w:ilvl w:val="1"/>
        <w:numId w:val="3"/>
      </w:numPr>
      <w:jc w:val="left"/>
      <w:keepNext/>
      <w:spacing w:before="360" w:after="120"/>
      <w:outlineLvl w:val="1"/>
    </w:pPr>
    <w:rPr>
      <w:b/>
      <w:sz w:val="32"/>
    </w:rPr>
  </w:style>
  <w:style w:type="paragraph" w:styleId="1099">
    <w:name w:val="Heading 3"/>
    <w:basedOn w:val="1096"/>
    <w:next w:val="1096"/>
    <w:link w:val="1111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1100">
    <w:name w:val="Heading 4"/>
    <w:basedOn w:val="1096"/>
    <w:next w:val="1096"/>
    <w:link w:val="1112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1101">
    <w:name w:val="Heading 5"/>
    <w:basedOn w:val="1096"/>
    <w:next w:val="1096"/>
    <w:link w:val="1113"/>
    <w:qFormat/>
    <w:pPr>
      <w:numPr>
        <w:ilvl w:val="4"/>
        <w:numId w:val="2"/>
      </w:numPr>
      <w:ind w:left="0" w:firstLine="0"/>
      <w:keepNext/>
      <w:spacing w:before="60"/>
      <w:tabs>
        <w:tab w:val="left" w:pos="360" w:leader="none"/>
      </w:tabs>
      <w:outlineLvl w:val="4"/>
    </w:pPr>
    <w:rPr>
      <w:b/>
    </w:rPr>
  </w:style>
  <w:style w:type="paragraph" w:styleId="1102">
    <w:name w:val="Heading 6"/>
    <w:basedOn w:val="1096"/>
    <w:next w:val="1096"/>
    <w:link w:val="1114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5"/>
    </w:pPr>
    <w:rPr>
      <w:b/>
      <w:sz w:val="22"/>
    </w:rPr>
  </w:style>
  <w:style w:type="paragraph" w:styleId="1103">
    <w:name w:val="Heading 7"/>
    <w:basedOn w:val="1096"/>
    <w:next w:val="1096"/>
    <w:link w:val="1115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6"/>
    </w:pPr>
  </w:style>
  <w:style w:type="paragraph" w:styleId="1104">
    <w:name w:val="Heading 8"/>
    <w:basedOn w:val="1096"/>
    <w:next w:val="1096"/>
    <w:link w:val="1116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7"/>
    </w:pPr>
    <w:rPr>
      <w:i/>
    </w:rPr>
  </w:style>
  <w:style w:type="paragraph" w:styleId="1105">
    <w:name w:val="Heading 9"/>
    <w:basedOn w:val="1096"/>
    <w:next w:val="1096"/>
    <w:link w:val="1117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8"/>
    </w:pPr>
    <w:rPr>
      <w:rFonts w:ascii="Arial" w:hAnsi="Arial"/>
      <w:sz w:val="22"/>
    </w:rPr>
  </w:style>
  <w:style w:type="character" w:styleId="1106" w:default="1">
    <w:name w:val="Default Paragraph Font"/>
    <w:uiPriority w:val="1"/>
    <w:semiHidden/>
    <w:unhideWhenUsed/>
  </w:style>
  <w:style w:type="table" w:styleId="11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8" w:default="1">
    <w:name w:val="No List"/>
    <w:uiPriority w:val="99"/>
    <w:semiHidden/>
    <w:unhideWhenUsed/>
  </w:style>
  <w:style w:type="character" w:styleId="1109" w:customStyle="1">
    <w:name w:val="Заголовок 1 Знак"/>
    <w:basedOn w:val="1106"/>
    <w:link w:val="1097"/>
    <w:qFormat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10" w:customStyle="1">
    <w:name w:val="Заголовок 2 Знак"/>
    <w:basedOn w:val="1106"/>
    <w:uiPriority w:val="9"/>
    <w:semiHidden/>
    <w:qFormat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1111" w:customStyle="1">
    <w:name w:val="Заголовок 3 Знак"/>
    <w:basedOn w:val="1106"/>
    <w:link w:val="1099"/>
    <w:qFormat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112" w:customStyle="1">
    <w:name w:val="Заголовок 4 Знак"/>
    <w:basedOn w:val="1106"/>
    <w:link w:val="1100"/>
    <w:qFormat/>
    <w:rPr>
      <w:rFonts w:ascii="Times New Roman" w:hAnsi="Times New Roman" w:eastAsia="Times New Roman" w:cs="Times New Roman"/>
      <w:b/>
      <w:i/>
      <w:sz w:val="26"/>
      <w:szCs w:val="26"/>
      <w:lang w:eastAsia="ru-RU"/>
    </w:rPr>
  </w:style>
  <w:style w:type="character" w:styleId="1113" w:customStyle="1">
    <w:name w:val="Заголовок 5 Знак"/>
    <w:basedOn w:val="1106"/>
    <w:link w:val="1101"/>
    <w:qFormat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114" w:customStyle="1">
    <w:name w:val="Заголовок 6 Знак"/>
    <w:basedOn w:val="1106"/>
    <w:link w:val="1102"/>
    <w:qFormat/>
    <w:rPr>
      <w:rFonts w:ascii="Times New Roman" w:hAnsi="Times New Roman" w:eastAsia="Times New Roman" w:cs="Times New Roman"/>
      <w:b/>
      <w:szCs w:val="26"/>
      <w:lang w:eastAsia="ru-RU"/>
    </w:rPr>
  </w:style>
  <w:style w:type="character" w:styleId="1115" w:customStyle="1">
    <w:name w:val="Заголовок 7 Знак"/>
    <w:basedOn w:val="1106"/>
    <w:link w:val="1103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116" w:customStyle="1">
    <w:name w:val="Заголовок 8 Знак"/>
    <w:basedOn w:val="1106"/>
    <w:link w:val="1104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1117" w:customStyle="1">
    <w:name w:val="Заголовок 9 Знак"/>
    <w:basedOn w:val="1106"/>
    <w:link w:val="1105"/>
    <w:qFormat/>
    <w:rPr>
      <w:rFonts w:ascii="Arial" w:hAnsi="Arial" w:eastAsia="Times New Roman" w:cs="Times New Roman"/>
      <w:szCs w:val="26"/>
      <w:lang w:eastAsia="ru-RU"/>
    </w:rPr>
  </w:style>
  <w:style w:type="character" w:styleId="1118" w:customStyle="1">
    <w:name w:val="Заголовок 2 Знак1"/>
    <w:link w:val="1098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1119" w:customStyle="1">
    <w:name w:val="Верхний колонтитул Знак"/>
    <w:basedOn w:val="1106"/>
    <w:link w:val="1168"/>
    <w:qFormat/>
    <w:rPr>
      <w:rFonts w:ascii="Times New Roman" w:hAnsi="Times New Roman" w:eastAsia="Times New Roman" w:cs="Times New Roman"/>
      <w:i/>
      <w:sz w:val="20"/>
      <w:szCs w:val="26"/>
      <w:lang w:eastAsia="ru-RU"/>
    </w:rPr>
  </w:style>
  <w:style w:type="character" w:styleId="1120" w:customStyle="1">
    <w:name w:val="Нижний колонтитул Знак"/>
    <w:basedOn w:val="1106"/>
    <w:link w:val="116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121">
    <w:name w:val="Hyperlink"/>
    <w:uiPriority w:val="99"/>
    <w:rPr>
      <w:color w:val="0000ff"/>
      <w:u w:val="single"/>
    </w:rPr>
  </w:style>
  <w:style w:type="character" w:styleId="1122" w:customStyle="1">
    <w:name w:val="Символ сноски"/>
    <w:uiPriority w:val="99"/>
    <w:qFormat/>
    <w:rPr>
      <w:vertAlign w:val="superscript"/>
    </w:rPr>
  </w:style>
  <w:style w:type="character" w:styleId="1123">
    <w:name w:val="footnote reference"/>
    <w:rPr>
      <w:vertAlign w:val="superscript"/>
    </w:rPr>
  </w:style>
  <w:style w:type="character" w:styleId="1124">
    <w:name w:val="page number"/>
    <w:qFormat/>
    <w:rPr>
      <w:rFonts w:ascii="Times New Roman" w:hAnsi="Times New Roman"/>
      <w:sz w:val="20"/>
    </w:rPr>
  </w:style>
  <w:style w:type="character" w:styleId="1125">
    <w:name w:val="FollowedHyperlink"/>
    <w:rPr>
      <w:color w:val="800080"/>
      <w:u w:val="single"/>
    </w:rPr>
  </w:style>
  <w:style w:type="character" w:styleId="1126" w:customStyle="1">
    <w:name w:val="Схема документа Знак"/>
    <w:basedOn w:val="1106"/>
    <w:link w:val="1174"/>
    <w:semiHidden/>
    <w:qFormat/>
    <w:rPr>
      <w:rFonts w:ascii="Tahoma" w:hAnsi="Tahoma" w:eastAsia="Times New Roman" w:cs="Times New Roman"/>
      <w:sz w:val="20"/>
      <w:szCs w:val="26"/>
      <w:shd w:val="clear" w:color="auto" w:fill="000080"/>
      <w:lang w:eastAsia="ru-RU"/>
    </w:rPr>
  </w:style>
  <w:style w:type="character" w:styleId="1127" w:customStyle="1">
    <w:name w:val="Схема документа Знак1"/>
    <w:basedOn w:val="1106"/>
    <w:uiPriority w:val="99"/>
    <w:semiHidden/>
    <w:qFormat/>
    <w:rPr>
      <w:rFonts w:ascii="Segoe UI" w:hAnsi="Segoe UI" w:eastAsia="Times New Roman" w:cs="Segoe UI"/>
      <w:sz w:val="16"/>
      <w:szCs w:val="16"/>
      <w:lang w:eastAsia="ru-RU"/>
    </w:rPr>
  </w:style>
  <w:style w:type="character" w:styleId="1128" w:customStyle="1">
    <w:name w:val="Текст сноски Знак"/>
    <w:basedOn w:val="1106"/>
    <w:link w:val="1176"/>
    <w:uiPriority w:val="9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129" w:customStyle="1">
    <w:name w:val="Пункт Знак2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130" w:customStyle="1">
    <w:name w:val="Пункт Знак"/>
    <w:qFormat/>
    <w:rPr>
      <w:sz w:val="28"/>
      <w:lang w:val="ru-RU" w:eastAsia="ru-RU" w:bidi="ar-SA"/>
    </w:rPr>
  </w:style>
  <w:style w:type="character" w:styleId="1131" w:customStyle="1">
    <w:name w:val="Подпункт Знак1"/>
    <w:link w:val="1188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132" w:customStyle="1">
    <w:name w:val="Подпункт Знак"/>
    <w:qFormat/>
    <w:rPr>
      <w:sz w:val="28"/>
      <w:lang w:val="ru-RU" w:eastAsia="ru-RU" w:bidi="ar-SA"/>
    </w:rPr>
  </w:style>
  <w:style w:type="character" w:styleId="1133" w:customStyle="1">
    <w:name w:val="комментарий"/>
    <w:qFormat/>
    <w:rPr>
      <w:b/>
      <w:i/>
      <w:shd w:val="clear" w:color="auto" w:fill="ffff99"/>
    </w:rPr>
  </w:style>
  <w:style w:type="character" w:styleId="1134" w:customStyle="1">
    <w:name w:val="Пункт2 Знак"/>
    <w:link w:val="1189"/>
    <w:qFormat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135" w:customStyle="1">
    <w:name w:val="Подподпункт Знак"/>
    <w:link w:val="1190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136" w:customStyle="1">
    <w:name w:val="Текст выноски Знак"/>
    <w:basedOn w:val="1106"/>
    <w:link w:val="1194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137" w:customStyle="1">
    <w:name w:val="Основной текст Знак"/>
    <w:basedOn w:val="1106"/>
    <w:link w:val="1163"/>
    <w:qFormat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1138" w:customStyle="1">
    <w:name w:val="Текст примечания Знак"/>
    <w:basedOn w:val="1106"/>
    <w:link w:val="1195"/>
    <w:uiPriority w:val="9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139" w:customStyle="1">
    <w:name w:val="Тема примечания Знак"/>
    <w:basedOn w:val="1138"/>
    <w:link w:val="1196"/>
    <w:semiHidden/>
    <w:qFormat/>
    <w:rPr>
      <w:rFonts w:ascii="Times New Roman" w:hAnsi="Times New Roman" w:eastAsia="Times New Roman" w:cs="Times New Roman"/>
      <w:b/>
      <w:bCs/>
      <w:sz w:val="20"/>
      <w:szCs w:val="26"/>
      <w:lang w:eastAsia="ru-RU"/>
    </w:rPr>
  </w:style>
  <w:style w:type="character" w:styleId="1140" w:customStyle="1">
    <w:name w:val="Тема примечания Знак1"/>
    <w:basedOn w:val="1138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6"/>
      <w:lang w:eastAsia="ru-RU"/>
    </w:rPr>
  </w:style>
  <w:style w:type="character" w:styleId="1141" w:customStyle="1">
    <w:name w:val="Основной текст 3 Знак"/>
    <w:basedOn w:val="1106"/>
    <w:link w:val="1197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142" w:customStyle="1">
    <w:name w:val="Основной текст с отступом Знак"/>
    <w:basedOn w:val="1106"/>
    <w:link w:val="1200"/>
    <w:qFormat/>
    <w:rPr>
      <w:rFonts w:ascii="Times New Roman" w:hAnsi="Times New Roman" w:eastAsia="Times New Roman" w:cs="Times New Roman"/>
      <w:i/>
      <w:color w:val="000000"/>
      <w:sz w:val="26"/>
      <w:szCs w:val="28"/>
      <w:lang w:eastAsia="ru-RU"/>
    </w:rPr>
  </w:style>
  <w:style w:type="character" w:styleId="1143" w:customStyle="1">
    <w:name w:val="Пункт Знак1"/>
    <w:uiPriority w:val="99"/>
    <w:qFormat/>
    <w:rPr>
      <w:sz w:val="28"/>
      <w:lang w:val="ru-RU" w:eastAsia="ru-RU" w:bidi="ar-SA"/>
    </w:rPr>
  </w:style>
  <w:style w:type="character" w:styleId="1144">
    <w:name w:val="annotation reference"/>
    <w:qFormat/>
    <w:rPr>
      <w:sz w:val="16"/>
    </w:rPr>
  </w:style>
  <w:style w:type="character" w:styleId="1145" w:customStyle="1">
    <w:name w:val="Заголовок Знак"/>
    <w:basedOn w:val="1106"/>
    <w:link w:val="1162"/>
    <w:qFormat/>
    <w:rPr>
      <w:rFonts w:ascii="Times New Roman" w:hAnsi="Times New Roman" w:eastAsia="Times New Roman" w:cs="Times New Roman"/>
      <w:sz w:val="24"/>
      <w:szCs w:val="24"/>
    </w:rPr>
  </w:style>
  <w:style w:type="character" w:styleId="1146" w:customStyle="1">
    <w:name w:val="Font Style29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character" w:styleId="1147" w:customStyle="1">
    <w:name w:val="Текст концевой сноски Знак"/>
    <w:basedOn w:val="1106"/>
    <w:link w:val="120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148" w:customStyle="1">
    <w:name w:val="Символ концевой сноски"/>
    <w:uiPriority w:val="99"/>
    <w:qFormat/>
    <w:rPr>
      <w:vertAlign w:val="superscript"/>
    </w:rPr>
  </w:style>
  <w:style w:type="character" w:styleId="1149">
    <w:name w:val="endnote reference"/>
    <w:rPr>
      <w:vertAlign w:val="superscript"/>
    </w:rPr>
  </w:style>
  <w:style w:type="character" w:styleId="1150" w:customStyle="1">
    <w:name w:val="blk1"/>
    <w:basedOn w:val="1106"/>
    <w:qFormat/>
    <w:rPr>
      <w:vanish w:val="0"/>
    </w:rPr>
  </w:style>
  <w:style w:type="character" w:styleId="1151" w:customStyle="1">
    <w:name w:val="Примечание Знак"/>
    <w:link w:val="1217"/>
    <w:qFormat/>
    <w:rPr>
      <w:rFonts w:ascii="Times New Roman" w:hAnsi="Times New Roman" w:eastAsia="Times New Roman" w:cs="Times New Roman"/>
      <w:spacing w:val="20"/>
      <w:sz w:val="24"/>
      <w:szCs w:val="26"/>
      <w:lang w:eastAsia="ru-RU"/>
    </w:rPr>
  </w:style>
  <w:style w:type="character" w:styleId="1152" w:customStyle="1">
    <w:name w:val="Стандартный HTML Знак"/>
    <w:basedOn w:val="1106"/>
    <w:link w:val="122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53" w:customStyle="1">
    <w:name w:val="Стандартный HTML Знак1"/>
    <w:basedOn w:val="1106"/>
    <w:uiPriority w:val="99"/>
    <w:semiHidden/>
    <w:qFormat/>
    <w:rPr>
      <w:rFonts w:ascii="Consolas" w:hAnsi="Consolas" w:eastAsia="Times New Roman" w:cs="Times New Roman"/>
      <w:sz w:val="20"/>
      <w:szCs w:val="20"/>
      <w:lang w:eastAsia="ru-RU"/>
    </w:rPr>
  </w:style>
  <w:style w:type="character" w:styleId="1154">
    <w:name w:val="Strong"/>
    <w:basedOn w:val="1106"/>
    <w:uiPriority w:val="22"/>
    <w:qFormat/>
    <w:rPr>
      <w:b/>
      <w:bCs/>
    </w:rPr>
  </w:style>
  <w:style w:type="character" w:styleId="1155" w:customStyle="1">
    <w:name w:val="Абзац списка Знак"/>
    <w:link w:val="1202"/>
    <w:qFormat/>
    <w:rPr>
      <w:rFonts w:ascii="Geneva CY" w:hAnsi="Geneva CY" w:eastAsia="Geneva" w:cs="Times New Roman"/>
      <w:sz w:val="24"/>
      <w:szCs w:val="26"/>
    </w:rPr>
  </w:style>
  <w:style w:type="character" w:styleId="1156" w:customStyle="1">
    <w:name w:val="Основной текст (2)_"/>
    <w:link w:val="1221"/>
    <w:uiPriority w:val="99"/>
    <w:qFormat/>
    <w:rPr>
      <w:b/>
      <w:bCs/>
      <w:shd w:val="clear" w:color="auto" w:fill="ffffff"/>
    </w:rPr>
  </w:style>
  <w:style w:type="character" w:styleId="1157" w:customStyle="1">
    <w:name w:val="Основной текст (2) + Не полужирный"/>
    <w:uiPriority w:val="99"/>
    <w:qFormat/>
    <w:rPr>
      <w:rFonts w:ascii="Times New Roman" w:hAnsi="Times New Roman"/>
      <w:b w:val="0"/>
      <w:bCs w:val="0"/>
      <w:shd w:val="clear" w:color="auto" w:fill="ffffff"/>
    </w:rPr>
  </w:style>
  <w:style w:type="character" w:styleId="1158">
    <w:name w:val="line number"/>
  </w:style>
  <w:style w:type="character" w:styleId="1159" w:customStyle="1">
    <w:name w:val="Ссылка указателя"/>
    <w:qFormat/>
  </w:style>
  <w:style w:type="character" w:styleId="1160" w:customStyle="1">
    <w:name w:val="Пункт2"/>
    <w:basedOn w:val="1106"/>
    <w:uiPriority w:val="9"/>
    <w:semiHidden/>
    <w:qFormat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1161" w:customStyle="1">
    <w:name w:val="Пункт21"/>
    <w:link w:val="1187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162">
    <w:name w:val="Title"/>
    <w:basedOn w:val="1096"/>
    <w:next w:val="1163"/>
    <w:link w:val="1145"/>
    <w:qFormat/>
    <w:pPr>
      <w:jc w:val="center"/>
    </w:pPr>
    <w:rPr>
      <w:sz w:val="24"/>
      <w:szCs w:val="24"/>
    </w:rPr>
  </w:style>
  <w:style w:type="paragraph" w:styleId="1163">
    <w:name w:val="Body Text"/>
    <w:basedOn w:val="1096"/>
    <w:link w:val="1137"/>
    <w:pPr>
      <w:jc w:val="left"/>
      <w:tabs>
        <w:tab w:val="right" w:pos="9360" w:leader="none"/>
      </w:tabs>
    </w:pPr>
    <w:rPr>
      <w:szCs w:val="24"/>
    </w:rPr>
  </w:style>
  <w:style w:type="paragraph" w:styleId="1164">
    <w:name w:val="List"/>
    <w:basedOn w:val="1163"/>
    <w:rPr>
      <w:rFonts w:cs="Arial Unicode MS"/>
    </w:rPr>
  </w:style>
  <w:style w:type="paragraph" w:styleId="1165">
    <w:name w:val="Caption"/>
    <w:basedOn w:val="1096"/>
    <w:qFormat/>
    <w:pPr>
      <w:spacing w:after="120"/>
      <w:suppressLineNumbers/>
    </w:pPr>
    <w:rPr>
      <w:rFonts w:cs="Arial Unicode MS"/>
      <w:i/>
      <w:iCs/>
      <w:sz w:val="24"/>
      <w:szCs w:val="24"/>
    </w:rPr>
  </w:style>
  <w:style w:type="paragraph" w:styleId="1166">
    <w:name w:val="index heading"/>
    <w:basedOn w:val="1096"/>
    <w:qFormat/>
    <w:pPr>
      <w:suppressLineNumbers/>
    </w:pPr>
    <w:rPr>
      <w:rFonts w:cs="Arial Unicode MS"/>
    </w:rPr>
  </w:style>
  <w:style w:type="paragraph" w:styleId="1167" w:customStyle="1">
    <w:name w:val="Колонтитул"/>
    <w:basedOn w:val="1096"/>
    <w:qFormat/>
  </w:style>
  <w:style w:type="paragraph" w:styleId="1168">
    <w:name w:val="Header"/>
    <w:basedOn w:val="1096"/>
    <w:link w:val="1119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1169">
    <w:name w:val="Footer"/>
    <w:basedOn w:val="1096"/>
    <w:link w:val="1120"/>
    <w:pPr>
      <w:tabs>
        <w:tab w:val="center" w:pos="4253" w:leader="none"/>
        <w:tab w:val="right" w:pos="9356" w:leader="none"/>
      </w:tabs>
    </w:pPr>
    <w:rPr>
      <w:sz w:val="20"/>
    </w:rPr>
  </w:style>
  <w:style w:type="paragraph" w:styleId="1170">
    <w:name w:val="toc 1"/>
    <w:basedOn w:val="1096"/>
    <w:next w:val="1096"/>
    <w:uiPriority w:val="39"/>
    <w:pPr>
      <w:ind w:left="630" w:right="36"/>
      <w:jc w:val="left"/>
      <w:spacing w:before="240" w:after="120"/>
      <w:tabs>
        <w:tab w:val="left" w:pos="630" w:leader="none"/>
        <w:tab w:val="right" w:pos="10195" w:leader="dot"/>
      </w:tabs>
    </w:pPr>
    <w:rPr>
      <w:b/>
      <w:bCs/>
      <w:caps/>
    </w:rPr>
  </w:style>
  <w:style w:type="paragraph" w:styleId="1171">
    <w:name w:val="toc 2"/>
    <w:basedOn w:val="1096"/>
    <w:next w:val="1096"/>
    <w:uiPriority w:val="39"/>
    <w:pPr>
      <w:ind w:left="1134" w:right="845" w:hanging="595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</w:rPr>
  </w:style>
  <w:style w:type="paragraph" w:styleId="1172">
    <w:name w:val="toc 3"/>
    <w:basedOn w:val="1096"/>
    <w:next w:val="1096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1173">
    <w:name w:val="toc 4"/>
    <w:basedOn w:val="1096"/>
    <w:next w:val="1096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paragraph" w:styleId="1174">
    <w:name w:val="Document Map"/>
    <w:basedOn w:val="1096"/>
    <w:link w:val="1126"/>
    <w:semiHidden/>
    <w:qFormat/>
    <w:pPr>
      <w:shd w:val="clear" w:color="auto" w:fill="000080"/>
    </w:pPr>
    <w:rPr>
      <w:rFonts w:ascii="Tahoma" w:hAnsi="Tahoma"/>
      <w:sz w:val="20"/>
    </w:rPr>
  </w:style>
  <w:style w:type="paragraph" w:styleId="1175" w:customStyle="1">
    <w:name w:val="Таблица шапка"/>
    <w:basedOn w:val="1096"/>
    <w:qFormat/>
    <w:pPr>
      <w:ind w:left="57" w:right="57"/>
      <w:jc w:val="left"/>
      <w:keepNext/>
      <w:spacing w:before="40" w:after="40"/>
    </w:pPr>
    <w:rPr>
      <w:sz w:val="22"/>
    </w:rPr>
  </w:style>
  <w:style w:type="paragraph" w:styleId="1176">
    <w:name w:val="footnote text"/>
    <w:basedOn w:val="1096"/>
    <w:link w:val="1128"/>
    <w:uiPriority w:val="99"/>
    <w:rPr>
      <w:sz w:val="20"/>
    </w:rPr>
  </w:style>
  <w:style w:type="paragraph" w:styleId="1177" w:customStyle="1">
    <w:name w:val="Таблица текст"/>
    <w:basedOn w:val="1096"/>
    <w:qFormat/>
    <w:pPr>
      <w:ind w:left="57" w:right="57"/>
      <w:jc w:val="left"/>
      <w:spacing w:before="40" w:after="40"/>
    </w:pPr>
    <w:rPr>
      <w:sz w:val="24"/>
    </w:rPr>
  </w:style>
  <w:style w:type="paragraph" w:styleId="1178" w:customStyle="1">
    <w:name w:val="caption1"/>
    <w:basedOn w:val="1096"/>
    <w:next w:val="1096"/>
    <w:qFormat/>
    <w:pPr>
      <w:pageBreakBefore/>
      <w:spacing w:after="120"/>
    </w:pPr>
    <w:rPr>
      <w:bCs/>
      <w:i/>
      <w:sz w:val="24"/>
    </w:rPr>
  </w:style>
  <w:style w:type="paragraph" w:styleId="1179">
    <w:name w:val="toc 5"/>
    <w:basedOn w:val="1096"/>
    <w:next w:val="1096"/>
    <w:uiPriority w:val="39"/>
    <w:pPr>
      <w:ind w:left="1120"/>
      <w:jc w:val="left"/>
    </w:pPr>
    <w:rPr>
      <w:sz w:val="18"/>
      <w:szCs w:val="18"/>
    </w:rPr>
  </w:style>
  <w:style w:type="paragraph" w:styleId="1180">
    <w:name w:val="toc 6"/>
    <w:basedOn w:val="1096"/>
    <w:next w:val="1096"/>
    <w:uiPriority w:val="39"/>
    <w:pPr>
      <w:ind w:left="1400"/>
      <w:jc w:val="left"/>
    </w:pPr>
    <w:rPr>
      <w:sz w:val="18"/>
      <w:szCs w:val="18"/>
    </w:rPr>
  </w:style>
  <w:style w:type="paragraph" w:styleId="1181">
    <w:name w:val="toc 7"/>
    <w:basedOn w:val="1096"/>
    <w:next w:val="1096"/>
    <w:uiPriority w:val="39"/>
    <w:pPr>
      <w:ind w:left="1680"/>
      <w:jc w:val="left"/>
    </w:pPr>
    <w:rPr>
      <w:sz w:val="18"/>
      <w:szCs w:val="18"/>
    </w:rPr>
  </w:style>
  <w:style w:type="paragraph" w:styleId="1182">
    <w:name w:val="toc 8"/>
    <w:basedOn w:val="1096"/>
    <w:next w:val="1096"/>
    <w:uiPriority w:val="39"/>
    <w:pPr>
      <w:ind w:left="1960"/>
      <w:jc w:val="left"/>
    </w:pPr>
    <w:rPr>
      <w:sz w:val="18"/>
      <w:szCs w:val="18"/>
    </w:rPr>
  </w:style>
  <w:style w:type="paragraph" w:styleId="1183">
    <w:name w:val="toc 9"/>
    <w:basedOn w:val="1096"/>
    <w:next w:val="1096"/>
    <w:uiPriority w:val="39"/>
    <w:pPr>
      <w:ind w:left="2240"/>
      <w:jc w:val="left"/>
    </w:pPr>
    <w:rPr>
      <w:sz w:val="18"/>
      <w:szCs w:val="18"/>
    </w:rPr>
  </w:style>
  <w:style w:type="paragraph" w:styleId="1184" w:customStyle="1">
    <w:name w:val="Служебный"/>
    <w:basedOn w:val="1185"/>
    <w:qFormat/>
  </w:style>
  <w:style w:type="paragraph" w:styleId="1185" w:customStyle="1">
    <w:name w:val="Главы"/>
    <w:basedOn w:val="1186"/>
    <w:next w:val="1096"/>
    <w:qFormat/>
    <w:pPr>
      <w:ind w:left="0" w:right="0" w:firstLine="0"/>
      <w:jc w:val="center"/>
      <w:spacing w:before="1440" w:after="720" w:line="360" w:lineRule="auto"/>
      <w:tabs>
        <w:tab w:val="clear" w:pos="567" w:leader="none"/>
        <w:tab w:val="clear" w:pos="851" w:leader="none"/>
      </w:tabs>
      <w:pBdr>
        <w:bottom w:val="none" w:color="000000" w:sz="4" w:space="0"/>
      </w:pBdr>
    </w:pPr>
    <w:rPr>
      <w:spacing w:val="40"/>
      <w:sz w:val="44"/>
      <w:szCs w:val="44"/>
    </w:rPr>
  </w:style>
  <w:style w:type="paragraph" w:styleId="1186" w:customStyle="1">
    <w:name w:val="Структура"/>
    <w:basedOn w:val="1096"/>
    <w:qFormat/>
    <w:pPr>
      <w:ind w:left="567" w:right="2835" w:hanging="567"/>
      <w:jc w:val="left"/>
      <w:pageBreakBefore/>
      <w:spacing w:before="480" w:after="240"/>
      <w:tabs>
        <w:tab w:val="left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187" w:customStyle="1">
    <w:name w:val="Пункт"/>
    <w:basedOn w:val="1096"/>
    <w:link w:val="1161"/>
    <w:qFormat/>
    <w:pPr>
      <w:numPr>
        <w:ilvl w:val="2"/>
        <w:numId w:val="3"/>
      </w:numPr>
    </w:pPr>
  </w:style>
  <w:style w:type="paragraph" w:styleId="1188" w:customStyle="1">
    <w:name w:val="Подпункт"/>
    <w:basedOn w:val="1187"/>
    <w:link w:val="1131"/>
    <w:qFormat/>
    <w:pPr>
      <w:numPr>
        <w:ilvl w:val="3"/>
      </w:numPr>
    </w:pPr>
  </w:style>
  <w:style w:type="paragraph" w:styleId="1189" w:customStyle="1">
    <w:name w:val="Пункт211"/>
    <w:basedOn w:val="1096"/>
    <w:next w:val="1096"/>
    <w:link w:val="1134"/>
    <w:qFormat/>
    <w:pPr>
      <w:numPr>
        <w:ilvl w:val="1"/>
      </w:numPr>
      <w:jc w:val="left"/>
      <w:keepNext/>
      <w:spacing w:before="360" w:after="120"/>
      <w:outlineLvl w:val="1"/>
    </w:pPr>
    <w:rPr>
      <w:b/>
      <w:sz w:val="32"/>
    </w:rPr>
  </w:style>
  <w:style w:type="paragraph" w:styleId="1190" w:customStyle="1">
    <w:name w:val="Подподпункт"/>
    <w:basedOn w:val="1188"/>
    <w:link w:val="1135"/>
    <w:qFormat/>
    <w:pPr>
      <w:numPr>
        <w:ilvl w:val="4"/>
      </w:numPr>
    </w:pPr>
  </w:style>
  <w:style w:type="paragraph" w:styleId="1191">
    <w:name w:val="List Number"/>
    <w:basedOn w:val="1096"/>
    <w:qFormat/>
    <w:pPr>
      <w:spacing w:before="60"/>
      <w:tabs>
        <w:tab w:val="left" w:pos="1134" w:leader="none"/>
      </w:tabs>
    </w:pPr>
    <w:rPr>
      <w:szCs w:val="24"/>
    </w:rPr>
  </w:style>
  <w:style w:type="paragraph" w:styleId="1192" w:customStyle="1">
    <w:name w:val="Пункт б/н"/>
    <w:basedOn w:val="1096"/>
    <w:qFormat/>
    <w:pPr>
      <w:tabs>
        <w:tab w:val="left" w:pos="1134" w:leader="none"/>
      </w:tabs>
    </w:pPr>
  </w:style>
  <w:style w:type="paragraph" w:styleId="1193">
    <w:name w:val="List Bullet"/>
    <w:basedOn w:val="1096"/>
    <w:qFormat/>
    <w:pPr>
      <w:ind w:left="360" w:hanging="360"/>
      <w:tabs>
        <w:tab w:val="left" w:pos="360" w:leader="none"/>
      </w:tabs>
    </w:pPr>
  </w:style>
  <w:style w:type="paragraph" w:styleId="1194">
    <w:name w:val="Balloon Text"/>
    <w:basedOn w:val="1096"/>
    <w:link w:val="1136"/>
    <w:uiPriority w:val="99"/>
    <w:semiHidden/>
    <w:qFormat/>
    <w:rPr>
      <w:rFonts w:ascii="Tahoma" w:hAnsi="Tahoma" w:cs="Tahoma"/>
      <w:sz w:val="16"/>
      <w:szCs w:val="16"/>
    </w:rPr>
  </w:style>
  <w:style w:type="paragraph" w:styleId="1195">
    <w:name w:val="annotation text"/>
    <w:basedOn w:val="1096"/>
    <w:link w:val="1138"/>
    <w:uiPriority w:val="99"/>
    <w:qFormat/>
    <w:rPr>
      <w:sz w:val="20"/>
    </w:rPr>
  </w:style>
  <w:style w:type="paragraph" w:styleId="1196">
    <w:name w:val="annotation subject"/>
    <w:basedOn w:val="1195"/>
    <w:next w:val="1195"/>
    <w:link w:val="1139"/>
    <w:semiHidden/>
    <w:qFormat/>
    <w:rPr>
      <w:b/>
      <w:bCs/>
    </w:rPr>
  </w:style>
  <w:style w:type="paragraph" w:styleId="1197">
    <w:name w:val="Body Text 3"/>
    <w:basedOn w:val="1096"/>
    <w:link w:val="1141"/>
    <w:qFormat/>
    <w:pPr>
      <w:spacing w:after="120"/>
    </w:pPr>
    <w:rPr>
      <w:sz w:val="16"/>
      <w:szCs w:val="16"/>
    </w:rPr>
  </w:style>
  <w:style w:type="paragraph" w:styleId="1198" w:customStyle="1">
    <w:name w:val="Подподподподпункт"/>
    <w:basedOn w:val="1096"/>
    <w:qFormat/>
    <w:pPr>
      <w:ind w:left="2835" w:hanging="567"/>
      <w:tabs>
        <w:tab w:val="left" w:pos="2835" w:leader="none"/>
      </w:tabs>
    </w:pPr>
  </w:style>
  <w:style w:type="paragraph" w:styleId="1199" w:customStyle="1">
    <w:name w:val="Подподподпункт"/>
    <w:basedOn w:val="1096"/>
    <w:qFormat/>
    <w:pPr>
      <w:ind w:left="2268" w:hanging="567"/>
      <w:tabs>
        <w:tab w:val="left" w:pos="2268" w:leader="none"/>
      </w:tabs>
    </w:pPr>
  </w:style>
  <w:style w:type="paragraph" w:styleId="1200">
    <w:name w:val="Body Text Indent"/>
    <w:basedOn w:val="1096"/>
    <w:link w:val="1142"/>
    <w:pPr>
      <w:ind w:firstLine="485"/>
    </w:pPr>
    <w:rPr>
      <w:i/>
      <w:color w:val="000000"/>
      <w:szCs w:val="28"/>
    </w:rPr>
  </w:style>
  <w:style w:type="paragraph" w:styleId="1201" w:customStyle="1">
    <w:name w:val="Normal Знак"/>
    <w:qFormat/>
    <w:pPr>
      <w:ind w:firstLine="20"/>
      <w:jc w:val="both"/>
      <w:spacing w:before="220" w:line="300" w:lineRule="auto"/>
      <w:widowControl w:val="off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1202">
    <w:name w:val="List Paragraph"/>
    <w:basedOn w:val="1096"/>
    <w:link w:val="1155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203" w:customStyle="1">
    <w:name w:val="Основной текст3"/>
    <w:basedOn w:val="1096"/>
    <w:qFormat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204" w:customStyle="1">
    <w:name w:val="Table_header"/>
    <w:basedOn w:val="1096"/>
    <w:qFormat/>
    <w:rPr>
      <w:b/>
      <w:sz w:val="20"/>
      <w:szCs w:val="24"/>
    </w:rPr>
  </w:style>
  <w:style w:type="paragraph" w:styleId="1205" w:customStyle="1">
    <w:name w:val="Table_text"/>
    <w:basedOn w:val="1096"/>
    <w:qFormat/>
    <w:rPr>
      <w:sz w:val="20"/>
      <w:szCs w:val="24"/>
    </w:rPr>
  </w:style>
  <w:style w:type="paragraph" w:styleId="1206" w:customStyle="1">
    <w:name w:val="Times 12"/>
    <w:basedOn w:val="1096"/>
    <w:qFormat/>
    <w:rPr>
      <w:bCs/>
      <w:sz w:val="24"/>
      <w:szCs w:val="22"/>
    </w:rPr>
  </w:style>
  <w:style w:type="paragraph" w:styleId="1207" w:customStyle="1">
    <w:name w:val="ConsPlusNonformat"/>
    <w:uiPriority w:val="99"/>
    <w:qFormat/>
    <w:pPr>
      <w:jc w:val="both"/>
      <w:spacing w:before="120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1208" w:customStyle="1">
    <w:name w:val="Пункт_3"/>
    <w:basedOn w:val="1096"/>
    <w:qFormat/>
    <w:pPr>
      <w:ind w:left="1134" w:hanging="1133"/>
      <w:tabs>
        <w:tab w:val="left" w:pos="1134" w:leader="none"/>
      </w:tabs>
    </w:pPr>
  </w:style>
  <w:style w:type="paragraph" w:styleId="1209">
    <w:name w:val="endnote text"/>
    <w:basedOn w:val="1096"/>
    <w:link w:val="1147"/>
    <w:rPr>
      <w:sz w:val="20"/>
    </w:rPr>
  </w:style>
  <w:style w:type="paragraph" w:styleId="1210" w:customStyle="1">
    <w:name w:val="Пункт1"/>
    <w:basedOn w:val="1096"/>
    <w:qFormat/>
    <w:pPr>
      <w:numPr>
        <w:ilvl w:val="0"/>
        <w:numId w:val="4"/>
      </w:numPr>
      <w:jc w:val="center"/>
      <w:spacing w:before="240"/>
    </w:pPr>
    <w:rPr>
      <w:rFonts w:ascii="Arial" w:hAnsi="Arial"/>
      <w:b/>
      <w:szCs w:val="28"/>
    </w:rPr>
  </w:style>
  <w:style w:type="paragraph" w:styleId="1211" w:customStyle="1">
    <w:name w:val="st_zag1"/>
    <w:basedOn w:val="1096"/>
    <w:next w:val="1096"/>
    <w:qFormat/>
    <w:pPr>
      <w:numPr>
        <w:ilvl w:val="0"/>
        <w:numId w:val="5"/>
      </w:numPr>
      <w:jc w:val="center"/>
    </w:pPr>
    <w:rPr>
      <w:rFonts w:ascii="Arial" w:hAnsi="Arial"/>
      <w:b/>
      <w:sz w:val="36"/>
      <w:szCs w:val="28"/>
    </w:rPr>
  </w:style>
  <w:style w:type="paragraph" w:styleId="1212" w:customStyle="1">
    <w:name w:val="st_text12"/>
    <w:basedOn w:val="1096"/>
    <w:qFormat/>
    <w:pPr>
      <w:ind w:left="576" w:hanging="576"/>
      <w:tabs>
        <w:tab w:val="left" w:pos="576" w:leader="none"/>
      </w:tabs>
    </w:pPr>
    <w:rPr>
      <w:szCs w:val="28"/>
    </w:rPr>
  </w:style>
  <w:style w:type="paragraph" w:styleId="1213" w:customStyle="1">
    <w:name w:val="st_text123"/>
    <w:basedOn w:val="1096"/>
    <w:qFormat/>
    <w:pPr>
      <w:ind w:left="720" w:hanging="720"/>
      <w:tabs>
        <w:tab w:val="left" w:pos="720" w:leader="none"/>
      </w:tabs>
    </w:pPr>
    <w:rPr>
      <w:szCs w:val="28"/>
    </w:rPr>
  </w:style>
  <w:style w:type="paragraph" w:styleId="1214" w:customStyle="1">
    <w:name w:val="st_text1234"/>
    <w:basedOn w:val="1096"/>
    <w:qFormat/>
    <w:pPr>
      <w:ind w:left="864" w:hanging="864"/>
      <w:tabs>
        <w:tab w:val="left" w:pos="864" w:leader="none"/>
      </w:tabs>
    </w:pPr>
    <w:rPr>
      <w:szCs w:val="28"/>
    </w:rPr>
  </w:style>
  <w:style w:type="paragraph" w:styleId="1215" w:customStyle="1">
    <w:name w:val="Заголовок1"/>
    <w:basedOn w:val="1096"/>
    <w:qFormat/>
    <w:pPr>
      <w:ind w:left="567" w:hanging="279"/>
      <w:jc w:val="center"/>
      <w:spacing w:before="240"/>
      <w:tabs>
        <w:tab w:val="left" w:pos="567" w:leader="none"/>
      </w:tabs>
    </w:pPr>
    <w:rPr>
      <w:b/>
      <w:szCs w:val="28"/>
    </w:rPr>
  </w:style>
  <w:style w:type="paragraph" w:styleId="1216" w:customStyle="1">
    <w:name w:val="русгидро п.п.п.п."/>
    <w:basedOn w:val="1096"/>
    <w:qFormat/>
    <w:pPr>
      <w:ind w:left="2269" w:hanging="567"/>
      <w:tabs>
        <w:tab w:val="left" w:pos="1843" w:leader="none"/>
        <w:tab w:val="left" w:pos="2269" w:leader="none"/>
      </w:tabs>
    </w:pPr>
    <w:rPr>
      <w:szCs w:val="28"/>
    </w:rPr>
  </w:style>
  <w:style w:type="paragraph" w:styleId="1217" w:customStyle="1">
    <w:name w:val="Примечание"/>
    <w:basedOn w:val="1096"/>
    <w:link w:val="1151"/>
    <w:qFormat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paragraph" w:styleId="1218" w:customStyle="1">
    <w:name w:val="Пункт_1"/>
    <w:basedOn w:val="1096"/>
    <w:qFormat/>
    <w:pPr>
      <w:ind w:left="567" w:hanging="567"/>
      <w:jc w:val="center"/>
      <w:keepNext/>
      <w:spacing w:before="480" w:after="240"/>
      <w:tabs>
        <w:tab w:val="left" w:pos="568" w:leader="none"/>
      </w:tabs>
      <w:outlineLvl w:val="0"/>
    </w:pPr>
    <w:rPr>
      <w:rFonts w:ascii="Arial" w:hAnsi="Arial"/>
      <w:b/>
      <w:sz w:val="32"/>
      <w:szCs w:val="28"/>
    </w:rPr>
  </w:style>
  <w:style w:type="paragraph" w:styleId="1219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220">
    <w:name w:val="HTML Preformatted"/>
    <w:basedOn w:val="1096"/>
    <w:link w:val="1152"/>
    <w:uiPriority w:val="99"/>
    <w:semiHidden/>
    <w:unhideWhenUsed/>
    <w:qFormat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21" w:customStyle="1">
    <w:name w:val="Основной текст (2)1"/>
    <w:basedOn w:val="1096"/>
    <w:link w:val="1156"/>
    <w:uiPriority w:val="99"/>
    <w:qFormat/>
    <w:pPr>
      <w:jc w:val="left"/>
      <w:spacing w:before="0" w:after="660" w:line="240" w:lineRule="atLeast"/>
      <w:shd w:val="clear" w:color="auto" w:fill="ffffff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table" w:styleId="1222">
    <w:name w:val="Table Grid"/>
    <w:basedOn w:val="1107"/>
    <w:uiPriority w:val="59"/>
    <w:pPr>
      <w:jc w:val="both"/>
      <w:spacing w:before="120"/>
    </w:pPr>
    <w:rPr>
      <w:sz w:val="26"/>
      <w:szCs w:val="26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23" w:customStyle="1">
    <w:name w:val="Text body"/>
    <w:basedOn w:val="1096"/>
    <w:pPr>
      <w:jc w:val="left"/>
      <w:tabs>
        <w:tab w:val="right" w:pos="9360" w:leader="none"/>
      </w:tabs>
    </w:pPr>
    <w:rPr>
      <w:szCs w:val="24"/>
    </w:rPr>
  </w:style>
  <w:style w:type="numbering" w:styleId="1224" w:customStyle="1">
    <w:name w:val="WWNum47"/>
    <w:basedOn w:val="1108"/>
    <w:pPr>
      <w:numPr>
        <w:ilvl w:val="0"/>
        <w:numId w:val="135"/>
      </w:numPr>
    </w:pPr>
  </w:style>
  <w:style w:type="paragraph" w:styleId="1225" w:customStyle="1">
    <w:name w:val="Standard"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nlyoffice.com/commentsDocument" Target="commentsDocument.xml" /><Relationship Id="rId13" Type="http://schemas.onlyoffice.com/commentsExtendedDocument" Target="commentsExtendedDocument.xml" /><Relationship Id="rId14" Type="http://schemas.onlyoffice.com/commentsExtensibleDocument" Target="commentsExtensibleDocument.xml" /><Relationship Id="rId15" Type="http://schemas.onlyoffice.com/commentsIdsDocument" Target="commentsIdsDocument.xml" /><Relationship Id="rId16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4892-17F1-4601-9240-606342CE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dc:language>ru-RU</dc:language>
  <cp:revision>98</cp:revision>
  <dcterms:created xsi:type="dcterms:W3CDTF">2025-08-19T09:01:00Z</dcterms:created>
  <dcterms:modified xsi:type="dcterms:W3CDTF">2026-06-29T01:31:40Z</dcterms:modified>
</cp:coreProperties>
</file>