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13B862AA"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5A2B59">
        <w:rPr>
          <w:b/>
          <w:bCs/>
        </w:rPr>
        <w:t xml:space="preserve">части </w:t>
      </w:r>
      <w:r w:rsidR="002E4E21">
        <w:rPr>
          <w:b/>
          <w:bCs/>
        </w:rPr>
        <w:t>нежи</w:t>
      </w:r>
      <w:r w:rsidR="00CA2D66">
        <w:rPr>
          <w:b/>
          <w:bCs/>
        </w:rPr>
        <w:t>лого</w:t>
      </w:r>
      <w:r w:rsidR="00E03DE7">
        <w:rPr>
          <w:b/>
          <w:bCs/>
        </w:rPr>
        <w:t>, расположенн</w:t>
      </w:r>
      <w:r w:rsidR="005A2B59">
        <w:rPr>
          <w:b/>
          <w:bCs/>
        </w:rPr>
        <w:t>ого</w:t>
      </w:r>
      <w:r w:rsidR="00F616A0">
        <w:rPr>
          <w:b/>
          <w:bCs/>
        </w:rPr>
        <w:t xml:space="preserve"> по адрес</w:t>
      </w:r>
      <w:r w:rsidR="005A2B59">
        <w:rPr>
          <w:b/>
          <w:bCs/>
        </w:rPr>
        <w:t>у</w:t>
      </w:r>
      <w:r w:rsidR="00F616A0" w:rsidRPr="00F616A0">
        <w:rPr>
          <w:b/>
          <w:bCs/>
        </w:rPr>
        <w:t>:</w:t>
      </w:r>
      <w:r w:rsidR="003A0734">
        <w:rPr>
          <w:b/>
          <w:bCs/>
        </w:rPr>
        <w:t xml:space="preserve"> </w:t>
      </w:r>
      <w:r w:rsidR="00E713F8" w:rsidRPr="00E713F8">
        <w:rPr>
          <w:b/>
          <w:bCs/>
          <w:iCs/>
        </w:rPr>
        <w:t xml:space="preserve">Красноярский край, </w:t>
      </w:r>
      <w:r w:rsidR="0055041F" w:rsidRPr="0055041F">
        <w:rPr>
          <w:b/>
          <w:bCs/>
          <w:iCs/>
        </w:rPr>
        <w:t>г. Зеленогорск, ул.</w:t>
      </w:r>
      <w:r w:rsidR="005A2B59">
        <w:rPr>
          <w:b/>
          <w:bCs/>
          <w:iCs/>
        </w:rPr>
        <w:t xml:space="preserve"> </w:t>
      </w:r>
      <w:r w:rsidR="005A2B59" w:rsidRPr="005A2B59">
        <w:rPr>
          <w:b/>
          <w:bCs/>
          <w:iCs/>
        </w:rPr>
        <w:t xml:space="preserve"> Молодежная, д.3</w:t>
      </w:r>
      <w:r w:rsidR="00E03DE7" w:rsidRPr="00E03DE7">
        <w:rPr>
          <w:b/>
          <w:bCs/>
          <w:lang w:eastAsia="en-US"/>
        </w:rPr>
        <w:t>,</w:t>
      </w:r>
      <w:r w:rsidR="00E03DE7" w:rsidRPr="00C402FA">
        <w:rPr>
          <w:lang w:eastAsia="en-US"/>
        </w:rPr>
        <w:t xml:space="preserve"> </w:t>
      </w:r>
      <w:r w:rsidR="002E4E21">
        <w:rPr>
          <w:b/>
          <w:bCs/>
        </w:rPr>
        <w:t>принадлежащ</w:t>
      </w:r>
      <w:r w:rsidR="005A2B59">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60810DA1"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7E2C46">
        <w:rPr>
          <w:rFonts w:eastAsia="Times New Roman"/>
          <w:b/>
          <w:bCs/>
        </w:rPr>
        <w:t>29</w:t>
      </w:r>
      <w:r w:rsidR="005A2B59">
        <w:rPr>
          <w:rFonts w:eastAsia="Times New Roman"/>
          <w:b/>
          <w:bCs/>
        </w:rPr>
        <w:t xml:space="preserve"> ию</w:t>
      </w:r>
      <w:r w:rsidR="007E2C46">
        <w:rPr>
          <w:rFonts w:eastAsia="Times New Roman"/>
          <w:b/>
          <w:bCs/>
        </w:rPr>
        <w:t>л</w:t>
      </w:r>
      <w:r w:rsidR="005A2B59">
        <w:rPr>
          <w:rFonts w:eastAsia="Times New Roman"/>
          <w:b/>
          <w:bCs/>
        </w:rPr>
        <w:t>я</w:t>
      </w:r>
      <w:r w:rsidR="0055041F">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670B0F56" w:rsidR="00CC22D0" w:rsidRPr="001406BC" w:rsidRDefault="00CC22D0" w:rsidP="00CC22D0">
      <w:pPr>
        <w:jc w:val="center"/>
        <w:rPr>
          <w:bCs/>
        </w:rPr>
      </w:pPr>
      <w:r w:rsidRPr="001406BC">
        <w:rPr>
          <w:b/>
          <w:bCs/>
        </w:rPr>
        <w:t xml:space="preserve">Прием заявок с </w:t>
      </w:r>
      <w:r w:rsidR="007E2C46">
        <w:rPr>
          <w:b/>
          <w:bCs/>
        </w:rPr>
        <w:t>29</w:t>
      </w:r>
      <w:r w:rsidRPr="001406BC">
        <w:rPr>
          <w:b/>
          <w:bCs/>
        </w:rPr>
        <w:t>.</w:t>
      </w:r>
      <w:r w:rsidR="0035166F">
        <w:rPr>
          <w:b/>
          <w:bCs/>
        </w:rPr>
        <w:t>0</w:t>
      </w:r>
      <w:r w:rsidR="007E2C46">
        <w:rPr>
          <w:b/>
          <w:bCs/>
        </w:rPr>
        <w:t>6</w:t>
      </w:r>
      <w:r w:rsidRPr="001406BC">
        <w:rPr>
          <w:b/>
          <w:bCs/>
        </w:rPr>
        <w:t>.20</w:t>
      </w:r>
      <w:r w:rsidR="005E71DF" w:rsidRPr="001406BC">
        <w:rPr>
          <w:b/>
          <w:bCs/>
        </w:rPr>
        <w:t>2</w:t>
      </w:r>
      <w:r w:rsidR="0035166F">
        <w:rPr>
          <w:b/>
          <w:bCs/>
        </w:rPr>
        <w:t>6</w:t>
      </w:r>
      <w:r w:rsidRPr="001406BC">
        <w:rPr>
          <w:b/>
          <w:bCs/>
        </w:rPr>
        <w:t xml:space="preserve"> г. по </w:t>
      </w:r>
      <w:r w:rsidR="005A2B59">
        <w:rPr>
          <w:b/>
          <w:bCs/>
        </w:rPr>
        <w:t>2</w:t>
      </w:r>
      <w:r w:rsidR="007E2C46">
        <w:rPr>
          <w:b/>
          <w:bCs/>
        </w:rPr>
        <w:t>7</w:t>
      </w:r>
      <w:r w:rsidR="009F666E">
        <w:rPr>
          <w:b/>
          <w:bCs/>
        </w:rPr>
        <w:t>.</w:t>
      </w:r>
      <w:r w:rsidR="007466FC">
        <w:rPr>
          <w:b/>
          <w:bCs/>
        </w:rPr>
        <w:t>0</w:t>
      </w:r>
      <w:r w:rsidR="007E2C46">
        <w:rPr>
          <w:b/>
          <w:bCs/>
        </w:rPr>
        <w:t>7</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6F922EC1" w:rsidR="00CC22D0" w:rsidRPr="001406BC" w:rsidRDefault="00CC22D0" w:rsidP="00CC22D0">
      <w:pPr>
        <w:jc w:val="center"/>
        <w:rPr>
          <w:bCs/>
        </w:rPr>
      </w:pPr>
      <w:r w:rsidRPr="001406BC">
        <w:rPr>
          <w:b/>
          <w:bCs/>
        </w:rPr>
        <w:t>не позднее</w:t>
      </w:r>
      <w:r w:rsidR="007466FC">
        <w:rPr>
          <w:b/>
          <w:bCs/>
        </w:rPr>
        <w:t xml:space="preserve"> </w:t>
      </w:r>
      <w:r w:rsidR="005A2B59">
        <w:rPr>
          <w:b/>
          <w:bCs/>
        </w:rPr>
        <w:t>2</w:t>
      </w:r>
      <w:r w:rsidR="007E2C46">
        <w:rPr>
          <w:b/>
          <w:bCs/>
        </w:rPr>
        <w:t>7</w:t>
      </w:r>
      <w:r w:rsidRPr="001406BC">
        <w:rPr>
          <w:b/>
          <w:bCs/>
        </w:rPr>
        <w:t>.</w:t>
      </w:r>
      <w:r w:rsidR="007466FC">
        <w:rPr>
          <w:b/>
          <w:bCs/>
        </w:rPr>
        <w:t>0</w:t>
      </w:r>
      <w:r w:rsidR="007E2C46">
        <w:rPr>
          <w:b/>
          <w:bCs/>
        </w:rPr>
        <w:t>7</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41542126" w:rsidR="00CC22D0" w:rsidRPr="001406BC" w:rsidRDefault="00CC22D0" w:rsidP="00CC22D0">
      <w:pPr>
        <w:jc w:val="center"/>
        <w:rPr>
          <w:bCs/>
        </w:rPr>
      </w:pPr>
      <w:r w:rsidRPr="001406BC">
        <w:rPr>
          <w:bCs/>
        </w:rPr>
        <w:t>Организатором торгов</w:t>
      </w:r>
      <w:r w:rsidR="00AC1F51" w:rsidRPr="0086319D">
        <w:rPr>
          <w:b/>
        </w:rPr>
        <w:t xml:space="preserve"> </w:t>
      </w:r>
      <w:r w:rsidR="005A2B59">
        <w:rPr>
          <w:b/>
        </w:rPr>
        <w:t>2</w:t>
      </w:r>
      <w:r w:rsidR="007E2C46">
        <w:rPr>
          <w:b/>
        </w:rPr>
        <w:t>8</w:t>
      </w:r>
      <w:r w:rsidR="0090205A" w:rsidRPr="0086319D">
        <w:rPr>
          <w:b/>
        </w:rPr>
        <w:t>.</w:t>
      </w:r>
      <w:r w:rsidR="007466FC" w:rsidRPr="0086319D">
        <w:rPr>
          <w:b/>
        </w:rPr>
        <w:t>0</w:t>
      </w:r>
      <w:r w:rsidR="007E2C46">
        <w:rPr>
          <w:b/>
        </w:rPr>
        <w:t>7</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E68CEE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 xml:space="preserve">повышения </w:t>
      </w:r>
      <w:r w:rsidRPr="00712619">
        <w:rPr>
          <w:sz w:val="22"/>
          <w:szCs w:val="22"/>
        </w:rPr>
        <w:t xml:space="preserve">начальной цены </w:t>
      </w:r>
    </w:p>
    <w:p w14:paraId="68E2030C" w14:textId="313917F8" w:rsidR="00712619" w:rsidRPr="00712619" w:rsidRDefault="00712619" w:rsidP="00712619">
      <w:pPr>
        <w:pStyle w:val="a5"/>
        <w:widowControl w:val="0"/>
        <w:ind w:left="0" w:right="0"/>
        <w:jc w:val="center"/>
        <w:rPr>
          <w:sz w:val="22"/>
          <w:szCs w:val="22"/>
        </w:rPr>
      </w:pPr>
      <w:r w:rsidRPr="00712619">
        <w:rPr>
          <w:sz w:val="22"/>
          <w:szCs w:val="22"/>
        </w:rPr>
        <w:t>(«</w:t>
      </w:r>
      <w:r w:rsidR="00F616A0">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43026806" w14:textId="1700932B" w:rsidR="00FD46FA" w:rsidRPr="00FD46FA" w:rsidRDefault="00FD46FA" w:rsidP="0070407E">
      <w:pPr>
        <w:pStyle w:val="a5"/>
        <w:widowControl w:val="0"/>
        <w:ind w:left="0" w:right="-1" w:firstLine="708"/>
      </w:pPr>
      <w:r w:rsidRPr="00FD46FA">
        <w:rPr>
          <w:b/>
          <w:bCs/>
        </w:rPr>
        <w:t xml:space="preserve">- </w:t>
      </w:r>
      <w:r w:rsidRPr="00FD46FA">
        <w:rPr>
          <w:b/>
          <w:bCs/>
          <w:iCs/>
        </w:rPr>
        <w:t>часть нежилого помещения, площадью 89,7 кв. м (этаж 1)</w:t>
      </w:r>
      <w:r w:rsidRPr="00FD46FA">
        <w:rPr>
          <w:iCs/>
        </w:rPr>
        <w:t>, расположенного по адресу:</w:t>
      </w:r>
      <w:r w:rsidR="002C0FA7">
        <w:rPr>
          <w:iCs/>
        </w:rPr>
        <w:t xml:space="preserve"> </w:t>
      </w:r>
      <w:r w:rsidR="002C0FA7" w:rsidRPr="002C0FA7">
        <w:rPr>
          <w:iCs/>
        </w:rPr>
        <w:t>Российская Федерация, Красноярский край, г.</w:t>
      </w:r>
      <w:r w:rsidR="002C0FA7">
        <w:rPr>
          <w:iCs/>
        </w:rPr>
        <w:t xml:space="preserve"> </w:t>
      </w:r>
      <w:r w:rsidR="002C0FA7" w:rsidRPr="002C0FA7">
        <w:rPr>
          <w:iCs/>
        </w:rPr>
        <w:t>Зеленогорск, ул.</w:t>
      </w:r>
      <w:r w:rsidR="002C0FA7">
        <w:rPr>
          <w:iCs/>
        </w:rPr>
        <w:t xml:space="preserve"> </w:t>
      </w:r>
      <w:r w:rsidR="002C0FA7" w:rsidRPr="002C0FA7">
        <w:rPr>
          <w:iCs/>
        </w:rPr>
        <w:t>Молодежная, д.3, пом. 49/1</w:t>
      </w:r>
      <w:r w:rsidRPr="00FD46FA">
        <w:rPr>
          <w:iCs/>
        </w:rPr>
        <w:t xml:space="preserve">, 1 этаж, </w:t>
      </w:r>
      <w:r w:rsidRPr="00FD46FA">
        <w:t>общей площадью 439 кв. м, кадастровый номер: 24:59:0303044:1744, принадлежащее ПАО Сбербанк на праве собственности, что подтверждается записью регистрации в Едином государственном реестре недвижимости № 24:59:0303044:1744-24/095/2017-1 от 29.09.2017</w:t>
      </w:r>
      <w:r>
        <w:t>.</w:t>
      </w:r>
    </w:p>
    <w:p w14:paraId="60577170" w14:textId="0E0D6CA1" w:rsidR="0070407E" w:rsidRDefault="000A722F" w:rsidP="0070407E">
      <w:pPr>
        <w:jc w:val="both"/>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4405B489"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EC6E85">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7FC1C4D2"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631245">
        <w:rPr>
          <w:b/>
        </w:rPr>
        <w:t xml:space="preserve"> </w:t>
      </w:r>
      <w:r w:rsidR="00106D8D" w:rsidRPr="00106D8D">
        <w:rPr>
          <w:b/>
        </w:rPr>
        <w:t>44 993 (</w:t>
      </w:r>
      <w:r w:rsidR="00106D8D">
        <w:rPr>
          <w:b/>
        </w:rPr>
        <w:t>С</w:t>
      </w:r>
      <w:r w:rsidR="00106D8D" w:rsidRPr="00106D8D">
        <w:rPr>
          <w:b/>
        </w:rPr>
        <w:t xml:space="preserve">орок четыре тысячи девятьсот девяносто три) руб. 52 </w:t>
      </w:r>
      <w:r w:rsidR="00631245" w:rsidRPr="00631245">
        <w:rPr>
          <w:b/>
        </w:rPr>
        <w:t>коп.</w:t>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7750E98D" w:rsidR="002558E7" w:rsidRDefault="00B25BB1" w:rsidP="00DF42B6">
      <w:pPr>
        <w:ind w:right="-57"/>
        <w:contextualSpacing/>
        <w:jc w:val="both"/>
      </w:pPr>
      <w:r w:rsidRPr="001406BC">
        <w:rPr>
          <w:b/>
        </w:rPr>
        <w:t>Сумма задатка:</w:t>
      </w:r>
      <w:r w:rsidR="00767741" w:rsidRPr="001406BC">
        <w:rPr>
          <w:b/>
        </w:rPr>
        <w:t xml:space="preserve"> </w:t>
      </w:r>
      <w:r w:rsidR="002C0FA7">
        <w:rPr>
          <w:b/>
        </w:rPr>
        <w:t>2</w:t>
      </w:r>
      <w:r w:rsidR="00704FA0" w:rsidRPr="00704FA0">
        <w:rPr>
          <w:b/>
        </w:rPr>
        <w:t>0 000 (</w:t>
      </w:r>
      <w:r w:rsidR="002C0FA7">
        <w:rPr>
          <w:b/>
        </w:rPr>
        <w:t>Двадцать</w:t>
      </w:r>
      <w:r w:rsidR="00704FA0" w:rsidRPr="00704FA0">
        <w:rPr>
          <w:b/>
        </w:rPr>
        <w:t xml:space="preserve"> 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4DD57F82" w14:textId="6A16847D" w:rsidR="00010F09" w:rsidRPr="003D7C54" w:rsidRDefault="00B25BB1" w:rsidP="00010F09">
      <w:pPr>
        <w:jc w:val="both"/>
        <w:rPr>
          <w:bCs/>
        </w:rPr>
      </w:pPr>
      <w:r w:rsidRPr="001406BC">
        <w:rPr>
          <w:b/>
        </w:rPr>
        <w:t>Шаг</w:t>
      </w:r>
      <w:r w:rsidR="00957B9D">
        <w:rPr>
          <w:b/>
        </w:rPr>
        <w:t xml:space="preserve"> аукциона</w:t>
      </w:r>
      <w:r w:rsidRPr="004C29A1">
        <w:rPr>
          <w:b/>
        </w:rPr>
        <w:t>:</w:t>
      </w:r>
      <w:r w:rsidR="00631245">
        <w:rPr>
          <w:b/>
        </w:rPr>
        <w:t xml:space="preserve"> </w:t>
      </w:r>
      <w:r w:rsidR="00106D8D" w:rsidRPr="00106D8D">
        <w:rPr>
          <w:b/>
        </w:rPr>
        <w:t>899 (</w:t>
      </w:r>
      <w:r w:rsidR="00BB72E3">
        <w:rPr>
          <w:b/>
        </w:rPr>
        <w:t>В</w:t>
      </w:r>
      <w:r w:rsidR="00106D8D" w:rsidRPr="00106D8D">
        <w:rPr>
          <w:b/>
        </w:rPr>
        <w:t>осемьсот девяносто девять) руб. 87</w:t>
      </w:r>
      <w:r w:rsidR="00106D8D">
        <w:rPr>
          <w:b/>
        </w:rPr>
        <w:t xml:space="preserve"> </w:t>
      </w:r>
      <w:r w:rsidR="00631245" w:rsidRPr="00631245">
        <w:rPr>
          <w:b/>
        </w:rPr>
        <w:t>коп.</w:t>
      </w:r>
      <w:r w:rsidR="004C29A1" w:rsidRPr="004C29A1">
        <w:t xml:space="preserve">, 2% </w:t>
      </w:r>
      <w:r w:rsidR="004E7FA9" w:rsidRPr="004E7FA9">
        <w:rPr>
          <w:bCs/>
        </w:rPr>
        <w:t xml:space="preserve">от начальной </w:t>
      </w:r>
      <w:r w:rsidR="004E7FA9">
        <w:rPr>
          <w:bCs/>
        </w:rPr>
        <w:t xml:space="preserve">цены </w:t>
      </w:r>
      <w:r w:rsidR="004E7FA9" w:rsidRPr="004E7FA9">
        <w:rPr>
          <w:bCs/>
        </w:rPr>
        <w:t>арендной платы</w:t>
      </w:r>
      <w:r w:rsidR="004E7FA9">
        <w:rPr>
          <w:bCs/>
        </w:rPr>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0EDCF078"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1A2529">
        <w:rPr>
          <w:rFonts w:ascii="Times New Roman" w:hAnsi="Times New Roman"/>
          <w:sz w:val="24"/>
          <w:szCs w:val="24"/>
        </w:rPr>
        <w:t>верение</w:t>
      </w:r>
      <w:r w:rsidR="004B7A44" w:rsidRPr="008F3011">
        <w:rPr>
          <w:rFonts w:ascii="Times New Roman" w:hAnsi="Times New Roman"/>
          <w:sz w:val="24"/>
          <w:szCs w:val="24"/>
        </w:rPr>
        <w:t xml:space="preserve">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7216CACE"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w:t>
      </w:r>
      <w:r w:rsidR="001A2529">
        <w:rPr>
          <w:rFonts w:ascii="Times New Roman" w:hAnsi="Times New Roman"/>
          <w:sz w:val="24"/>
          <w:szCs w:val="24"/>
        </w:rPr>
        <w:t>верение</w:t>
      </w:r>
      <w:r w:rsidR="004B7A44" w:rsidRPr="008F3011">
        <w:rPr>
          <w:rFonts w:ascii="Times New Roman" w:hAnsi="Times New Roman"/>
          <w:sz w:val="24"/>
          <w:szCs w:val="24"/>
        </w:rPr>
        <w:t xml:space="preserve">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444F8E81"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w:t>
      </w:r>
      <w:r w:rsidR="001A2529">
        <w:rPr>
          <w:rFonts w:ascii="Times New Roman" w:hAnsi="Times New Roman"/>
          <w:sz w:val="24"/>
          <w:szCs w:val="24"/>
        </w:rPr>
        <w:t>верение</w:t>
      </w:r>
      <w:r w:rsidRPr="008F3011">
        <w:rPr>
          <w:rFonts w:ascii="Times New Roman" w:hAnsi="Times New Roman"/>
          <w:sz w:val="24"/>
          <w:szCs w:val="24"/>
        </w:rPr>
        <w:t xml:space="preserve">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lastRenderedPageBreak/>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lastRenderedPageBreak/>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F8E91AD" w14:textId="45E9BB16" w:rsidR="00962C33" w:rsidRDefault="00962C33" w:rsidP="00962C33">
      <w:pPr>
        <w:pStyle w:val="ad"/>
        <w:tabs>
          <w:tab w:val="left" w:pos="993"/>
        </w:tabs>
        <w:autoSpaceDE w:val="0"/>
        <w:autoSpaceDN w:val="0"/>
        <w:adjustRightInd w:val="0"/>
        <w:ind w:left="0" w:firstLine="709"/>
        <w:jc w:val="both"/>
        <w:rPr>
          <w:rFonts w:ascii="Times New Roman" w:hAnsi="Times New Roman"/>
          <w:b/>
          <w:bCs/>
          <w:sz w:val="24"/>
          <w:szCs w:val="24"/>
        </w:rPr>
      </w:pPr>
      <w:r w:rsidRPr="00962C33">
        <w:rPr>
          <w:rFonts w:ascii="Times New Roman" w:hAnsi="Times New Roman"/>
          <w:b/>
          <w:bCs/>
          <w:sz w:val="24"/>
          <w:szCs w:val="24"/>
        </w:rPr>
        <w:t xml:space="preserve">Арендатором </w:t>
      </w:r>
      <w:r>
        <w:rPr>
          <w:rFonts w:ascii="Times New Roman" w:hAnsi="Times New Roman"/>
          <w:b/>
          <w:bCs/>
          <w:sz w:val="24"/>
          <w:szCs w:val="24"/>
        </w:rPr>
        <w:t>Объекта</w:t>
      </w:r>
      <w:r w:rsidRPr="00962C33">
        <w:rPr>
          <w:rFonts w:ascii="Times New Roman" w:hAnsi="Times New Roman"/>
          <w:b/>
          <w:bCs/>
          <w:sz w:val="24"/>
          <w:szCs w:val="24"/>
        </w:rPr>
        <w:t xml:space="preserve"> на основании ст. 8 Закона РФ от 14 июля 1992 № 3297-1 «О закрытом административно-территориальном образовании» (далее ФЗ № 3297-1) могут быть граждане Российской Федерации, постоянно проживающие или получившие разрешение на постоянное проживание на территории закрытого административно-территориального образования, граждане Российской Федерации, работающие на данной территории на условиях трудового договора, заключённого на неопределенный срок с организациями, по роду деятельности которых создано закрытое административно-территориальное образование, и юридические лица, расположенные и зарегистрированные на территории закрытого административно-территориального образования, а также иные лица по решению органов местного самоуправления закрытого административно-территориального образования. </w:t>
      </w:r>
      <w:r>
        <w:rPr>
          <w:rFonts w:ascii="Times New Roman" w:hAnsi="Times New Roman"/>
          <w:b/>
          <w:bCs/>
          <w:sz w:val="24"/>
          <w:szCs w:val="24"/>
        </w:rPr>
        <w:t>Арендатору</w:t>
      </w:r>
      <w:r w:rsidRPr="00962C33">
        <w:rPr>
          <w:rFonts w:ascii="Times New Roman" w:hAnsi="Times New Roman"/>
          <w:b/>
          <w:bCs/>
          <w:sz w:val="24"/>
          <w:szCs w:val="24"/>
        </w:rPr>
        <w:t>, не соответствующему условиям, установленным п. 1 ст. 8 ФЗ № 3297-1, для заключения договора купли-продажи (после подачи заявки в аукционе) необходимо предоставить решение органов местного самоуправления согласно п. 2 ст. 8 ФЗ № 3297-1, согласованное в соответствии с законодательством.</w:t>
      </w:r>
    </w:p>
    <w:p w14:paraId="51908351" w14:textId="5C8AE233" w:rsidR="0027202D" w:rsidRPr="0027202D" w:rsidRDefault="0027202D" w:rsidP="0027202D">
      <w:pPr>
        <w:pStyle w:val="ad"/>
        <w:tabs>
          <w:tab w:val="left" w:pos="993"/>
        </w:tabs>
        <w:ind w:left="0" w:firstLine="709"/>
        <w:jc w:val="both"/>
        <w:rPr>
          <w:rFonts w:ascii="Times New Roman" w:hAnsi="Times New Roman"/>
          <w:b/>
          <w:bCs/>
          <w:sz w:val="24"/>
          <w:szCs w:val="24"/>
        </w:rPr>
      </w:pPr>
      <w:r w:rsidRPr="0027202D">
        <w:rPr>
          <w:rFonts w:ascii="Times New Roman" w:hAnsi="Times New Roman"/>
          <w:b/>
          <w:bCs/>
          <w:sz w:val="24"/>
          <w:szCs w:val="24"/>
        </w:rPr>
        <w:t xml:space="preserve">В случае если </w:t>
      </w:r>
      <w:r>
        <w:rPr>
          <w:rFonts w:ascii="Times New Roman" w:hAnsi="Times New Roman"/>
          <w:b/>
          <w:bCs/>
          <w:sz w:val="24"/>
          <w:szCs w:val="24"/>
        </w:rPr>
        <w:t>Арендатор</w:t>
      </w:r>
      <w:r w:rsidRPr="0027202D">
        <w:rPr>
          <w:rFonts w:ascii="Times New Roman" w:hAnsi="Times New Roman"/>
          <w:b/>
          <w:bCs/>
          <w:sz w:val="24"/>
          <w:szCs w:val="24"/>
        </w:rPr>
        <w:t xml:space="preserve"> Объекта подходит под категорию, обозначенную в ст. 8 ФЗ № 3297-1 - Договор </w:t>
      </w:r>
      <w:r>
        <w:rPr>
          <w:rFonts w:ascii="Times New Roman" w:hAnsi="Times New Roman"/>
          <w:b/>
          <w:bCs/>
          <w:sz w:val="24"/>
          <w:szCs w:val="24"/>
        </w:rPr>
        <w:t>аренды</w:t>
      </w:r>
      <w:r w:rsidRPr="0027202D">
        <w:rPr>
          <w:rFonts w:ascii="Times New Roman" w:hAnsi="Times New Roman"/>
          <w:b/>
          <w:bCs/>
          <w:sz w:val="24"/>
          <w:szCs w:val="24"/>
        </w:rPr>
        <w:t xml:space="preserve"> заключается между ПАО Сбербанк и Победителем/Единственным участником аукциона</w:t>
      </w:r>
      <w:r>
        <w:rPr>
          <w:rFonts w:ascii="Times New Roman" w:hAnsi="Times New Roman"/>
          <w:b/>
          <w:bCs/>
          <w:sz w:val="24"/>
          <w:szCs w:val="24"/>
        </w:rPr>
        <w:t xml:space="preserve"> </w:t>
      </w:r>
      <w:r w:rsidRPr="0027202D">
        <w:rPr>
          <w:rFonts w:ascii="Times New Roman" w:hAnsi="Times New Roman"/>
          <w:b/>
          <w:bCs/>
          <w:sz w:val="24"/>
          <w:szCs w:val="24"/>
        </w:rPr>
        <w:t>(</w:t>
      </w:r>
      <w:r>
        <w:rPr>
          <w:rFonts w:ascii="Times New Roman" w:hAnsi="Times New Roman"/>
          <w:b/>
          <w:bCs/>
          <w:sz w:val="24"/>
          <w:szCs w:val="24"/>
        </w:rPr>
        <w:t>Арендатором</w:t>
      </w:r>
      <w:r w:rsidRPr="0027202D">
        <w:rPr>
          <w:rFonts w:ascii="Times New Roman" w:hAnsi="Times New Roman"/>
          <w:b/>
          <w:bCs/>
          <w:sz w:val="24"/>
          <w:szCs w:val="24"/>
        </w:rPr>
        <w:t xml:space="preserve">) </w:t>
      </w:r>
      <w:r w:rsidRPr="0031738E">
        <w:rPr>
          <w:rFonts w:ascii="Times New Roman" w:hAnsi="Times New Roman"/>
          <w:b/>
          <w:bCs/>
          <w:sz w:val="24"/>
          <w:szCs w:val="24"/>
        </w:rPr>
        <w:t>в течение 10 (Десяти) рабочих дней с даты подведения итогов торгов.</w:t>
      </w:r>
    </w:p>
    <w:p w14:paraId="300AAB92" w14:textId="00191017" w:rsidR="0027202D" w:rsidRPr="0027202D" w:rsidRDefault="0027202D" w:rsidP="0027202D">
      <w:pPr>
        <w:pStyle w:val="ad"/>
        <w:tabs>
          <w:tab w:val="left" w:pos="993"/>
        </w:tabs>
        <w:ind w:left="0" w:firstLine="709"/>
        <w:jc w:val="both"/>
        <w:rPr>
          <w:rFonts w:ascii="Times New Roman" w:hAnsi="Times New Roman"/>
          <w:b/>
          <w:bCs/>
          <w:sz w:val="24"/>
          <w:szCs w:val="24"/>
        </w:rPr>
      </w:pPr>
      <w:r w:rsidRPr="0027202D">
        <w:rPr>
          <w:rFonts w:ascii="Times New Roman" w:hAnsi="Times New Roman"/>
          <w:b/>
          <w:bCs/>
          <w:sz w:val="24"/>
          <w:szCs w:val="24"/>
        </w:rPr>
        <w:lastRenderedPageBreak/>
        <w:t xml:space="preserve">В случае если </w:t>
      </w:r>
      <w:r>
        <w:rPr>
          <w:rFonts w:ascii="Times New Roman" w:hAnsi="Times New Roman"/>
          <w:b/>
          <w:bCs/>
          <w:sz w:val="24"/>
          <w:szCs w:val="24"/>
        </w:rPr>
        <w:t>Арендатор</w:t>
      </w:r>
      <w:r w:rsidRPr="0027202D">
        <w:rPr>
          <w:rFonts w:ascii="Times New Roman" w:hAnsi="Times New Roman"/>
          <w:b/>
          <w:bCs/>
          <w:sz w:val="24"/>
          <w:szCs w:val="24"/>
        </w:rPr>
        <w:t xml:space="preserve"> Объекта не подходит под категорию, обозначенную в ст. 8 ФЗ № 3297-1 - Договор </w:t>
      </w:r>
      <w:r>
        <w:rPr>
          <w:rFonts w:ascii="Times New Roman" w:hAnsi="Times New Roman"/>
          <w:b/>
          <w:bCs/>
          <w:sz w:val="24"/>
          <w:szCs w:val="24"/>
        </w:rPr>
        <w:t>аренды</w:t>
      </w:r>
      <w:r w:rsidRPr="0027202D">
        <w:rPr>
          <w:rFonts w:ascii="Times New Roman" w:hAnsi="Times New Roman"/>
          <w:b/>
          <w:bCs/>
          <w:sz w:val="24"/>
          <w:szCs w:val="24"/>
        </w:rPr>
        <w:t xml:space="preserve"> заключается между ПАО Сбербанк и Победителем/Единственным участником аукциона (</w:t>
      </w:r>
      <w:r>
        <w:rPr>
          <w:rFonts w:ascii="Times New Roman" w:hAnsi="Times New Roman"/>
          <w:b/>
          <w:bCs/>
          <w:sz w:val="24"/>
          <w:szCs w:val="24"/>
        </w:rPr>
        <w:t>Арендатором</w:t>
      </w:r>
      <w:r w:rsidRPr="0027202D">
        <w:rPr>
          <w:rFonts w:ascii="Times New Roman" w:hAnsi="Times New Roman"/>
          <w:b/>
          <w:bCs/>
          <w:sz w:val="24"/>
          <w:szCs w:val="24"/>
        </w:rPr>
        <w:t xml:space="preserve">) после получения разрешения органов местного самоуправления на сделку. Документы для согласования сделки предоставляются совместно с </w:t>
      </w:r>
      <w:r>
        <w:rPr>
          <w:rFonts w:ascii="Times New Roman" w:hAnsi="Times New Roman"/>
          <w:b/>
          <w:bCs/>
          <w:sz w:val="24"/>
          <w:szCs w:val="24"/>
        </w:rPr>
        <w:t>Арендатором</w:t>
      </w:r>
      <w:r w:rsidRPr="0027202D">
        <w:rPr>
          <w:rFonts w:ascii="Times New Roman" w:hAnsi="Times New Roman"/>
          <w:b/>
          <w:bCs/>
          <w:sz w:val="24"/>
          <w:szCs w:val="24"/>
        </w:rPr>
        <w:t xml:space="preserve"> в орган местного самоуправления в течение 10 (десяти) рабочих дней с даты подведения итогов торгов.</w:t>
      </w:r>
    </w:p>
    <w:p w14:paraId="1B10A669" w14:textId="32BB03E6" w:rsidR="00962C33" w:rsidRDefault="00962C33" w:rsidP="00962C33">
      <w:pPr>
        <w:pStyle w:val="ad"/>
        <w:tabs>
          <w:tab w:val="left" w:pos="993"/>
        </w:tabs>
        <w:autoSpaceDE w:val="0"/>
        <w:autoSpaceDN w:val="0"/>
        <w:adjustRightInd w:val="0"/>
        <w:ind w:left="0" w:firstLine="709"/>
        <w:jc w:val="both"/>
        <w:rPr>
          <w:rFonts w:ascii="Times New Roman" w:hAnsi="Times New Roman"/>
          <w:b/>
          <w:bCs/>
          <w:sz w:val="24"/>
          <w:szCs w:val="24"/>
        </w:rPr>
      </w:pPr>
      <w:r w:rsidRPr="00962C33">
        <w:rPr>
          <w:rFonts w:ascii="Times New Roman" w:hAnsi="Times New Roman"/>
          <w:b/>
          <w:bCs/>
          <w:sz w:val="24"/>
          <w:szCs w:val="24"/>
        </w:rPr>
        <w:t>Если Арендатору будет отказано в получении соответствующего решения (для заключения договора) от органов местного самоуправления по причине</w:t>
      </w:r>
      <w:r>
        <w:rPr>
          <w:rFonts w:ascii="Times New Roman" w:hAnsi="Times New Roman"/>
          <w:b/>
          <w:bCs/>
          <w:sz w:val="24"/>
          <w:szCs w:val="24"/>
        </w:rPr>
        <w:t>,</w:t>
      </w:r>
      <w:r w:rsidRPr="00962C33">
        <w:rPr>
          <w:rFonts w:ascii="Times New Roman" w:hAnsi="Times New Roman"/>
          <w:b/>
          <w:bCs/>
          <w:sz w:val="24"/>
          <w:szCs w:val="24"/>
        </w:rPr>
        <w:t xml:space="preserve"> не зависящей от Арендатора и при выполнении Арендатором всех требований, предусмотренных ФЗ «3297-1, задаток подлежит возврату</w:t>
      </w:r>
      <w:r>
        <w:rPr>
          <w:rFonts w:ascii="Times New Roman" w:hAnsi="Times New Roman"/>
          <w:b/>
          <w:bCs/>
          <w:sz w:val="24"/>
          <w:szCs w:val="24"/>
        </w:rPr>
        <w:t>.</w:t>
      </w:r>
    </w:p>
    <w:p w14:paraId="3E56F114" w14:textId="6CD005DE" w:rsidR="00DF5F6E" w:rsidRPr="00DF5F6E" w:rsidRDefault="00DF5F6E" w:rsidP="00AC7DBF">
      <w:pPr>
        <w:pStyle w:val="ad"/>
        <w:tabs>
          <w:tab w:val="left" w:pos="993"/>
        </w:tabs>
        <w:autoSpaceDE w:val="0"/>
        <w:autoSpaceDN w:val="0"/>
        <w:adjustRightInd w:val="0"/>
        <w:ind w:left="142" w:hanging="11"/>
        <w:jc w:val="both"/>
        <w:rPr>
          <w:rFonts w:ascii="Times New Roman" w:hAnsi="Times New Roman"/>
          <w:b/>
          <w:bCs/>
          <w:sz w:val="24"/>
          <w:szCs w:val="24"/>
        </w:rPr>
      </w:pPr>
      <w:r>
        <w:rPr>
          <w:rFonts w:ascii="Times New Roman" w:hAnsi="Times New Roman"/>
          <w:b/>
          <w:bCs/>
          <w:sz w:val="24"/>
          <w:szCs w:val="24"/>
        </w:rPr>
        <w:t xml:space="preserve">         </w:t>
      </w:r>
      <w:r w:rsidRPr="00DF5F6E">
        <w:rPr>
          <w:rFonts w:ascii="Times New Roman" w:hAnsi="Times New Roman"/>
          <w:b/>
          <w:bCs/>
          <w:sz w:val="24"/>
          <w:szCs w:val="24"/>
        </w:rPr>
        <w:t>Коммунальные платежи (теплоснабжение, электроснабжение, водоснабжение, водоотведение) подлежат возмещению Арендатором и оплачиваются на основании приборов индивидуального учета либо возмещаются Арендатором исходя из доли общих затрат пропорциональной занимаемой площади Объекта.</w:t>
      </w:r>
    </w:p>
    <w:p w14:paraId="286B4F67" w14:textId="610F521B" w:rsidR="00DF5F6E" w:rsidRPr="00DF5F6E" w:rsidRDefault="00DF5F6E" w:rsidP="00DF5F6E">
      <w:pPr>
        <w:pStyle w:val="ad"/>
        <w:tabs>
          <w:tab w:val="left" w:pos="993"/>
        </w:tabs>
        <w:autoSpaceDE w:val="0"/>
        <w:autoSpaceDN w:val="0"/>
        <w:adjustRightInd w:val="0"/>
        <w:ind w:left="142" w:hanging="11"/>
        <w:rPr>
          <w:rFonts w:ascii="Times New Roman" w:hAnsi="Times New Roman"/>
          <w:b/>
          <w:bCs/>
          <w:sz w:val="24"/>
          <w:szCs w:val="24"/>
        </w:rPr>
      </w:pPr>
      <w:r>
        <w:rPr>
          <w:rFonts w:ascii="Times New Roman" w:hAnsi="Times New Roman"/>
          <w:b/>
          <w:bCs/>
          <w:sz w:val="24"/>
          <w:szCs w:val="24"/>
        </w:rPr>
        <w:t xml:space="preserve">          </w:t>
      </w:r>
      <w:r w:rsidRPr="00DF5F6E">
        <w:rPr>
          <w:rFonts w:ascii="Times New Roman" w:hAnsi="Times New Roman"/>
          <w:b/>
          <w:bCs/>
          <w:sz w:val="24"/>
          <w:szCs w:val="24"/>
        </w:rPr>
        <w:t>Ставка переменной арендной платы (компенсация за эксплуатационные расходы) составляет 408,21 руб./кв. м/год с учетом НДС 22%.</w:t>
      </w:r>
    </w:p>
    <w:p w14:paraId="37D1F2AB" w14:textId="23C87295" w:rsidR="00DF5F6E" w:rsidRPr="00DF5F6E" w:rsidRDefault="00DF5F6E" w:rsidP="00DF5F6E">
      <w:pPr>
        <w:pStyle w:val="ad"/>
        <w:tabs>
          <w:tab w:val="left" w:pos="993"/>
        </w:tabs>
        <w:autoSpaceDE w:val="0"/>
        <w:autoSpaceDN w:val="0"/>
        <w:adjustRightInd w:val="0"/>
        <w:ind w:left="142" w:firstLine="567"/>
        <w:rPr>
          <w:rFonts w:ascii="Times New Roman" w:hAnsi="Times New Roman"/>
          <w:b/>
          <w:bCs/>
          <w:sz w:val="24"/>
          <w:szCs w:val="24"/>
        </w:rPr>
      </w:pPr>
      <w:r w:rsidRPr="00DF5F6E">
        <w:rPr>
          <w:rFonts w:ascii="Times New Roman" w:hAnsi="Times New Roman"/>
          <w:b/>
          <w:bCs/>
          <w:sz w:val="24"/>
          <w:szCs w:val="24"/>
        </w:rPr>
        <w:t>Подключение к сетям водоснабжения/водоотведения и электроснабжения Арендатор осуществляет самостоятельно.</w:t>
      </w:r>
    </w:p>
    <w:p w14:paraId="2BA635EC" w14:textId="00993F84" w:rsidR="006951AE" w:rsidRDefault="00FA707A" w:rsidP="006951AE">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594CC7AE" w14:textId="252877D5" w:rsidR="006951AE" w:rsidRDefault="006951AE" w:rsidP="006951AE">
      <w:pPr>
        <w:pStyle w:val="ad"/>
        <w:tabs>
          <w:tab w:val="left" w:pos="993"/>
        </w:tabs>
        <w:autoSpaceDE w:val="0"/>
        <w:autoSpaceDN w:val="0"/>
        <w:adjustRightInd w:val="0"/>
        <w:ind w:left="0" w:firstLine="709"/>
        <w:jc w:val="both"/>
        <w:rPr>
          <w:rFonts w:ascii="Times New Roman" w:hAnsi="Times New Roman"/>
          <w:b/>
        </w:rPr>
      </w:pPr>
      <w:r w:rsidRPr="006951AE">
        <w:rPr>
          <w:rFonts w:ascii="Times New Roman" w:hAnsi="Times New Roman"/>
          <w:b/>
          <w:bCs/>
        </w:rPr>
        <w:t>По</w:t>
      </w:r>
      <w:r w:rsidRPr="006951AE">
        <w:rPr>
          <w:rFonts w:ascii="Times New Roman" w:hAnsi="Times New Roman"/>
          <w:b/>
        </w:rPr>
        <w:t>дписание Акта приема-передачи осуществляется в срок до 1</w:t>
      </w:r>
      <w:r w:rsidR="00DF5F6E">
        <w:rPr>
          <w:rFonts w:ascii="Times New Roman" w:hAnsi="Times New Roman"/>
          <w:b/>
        </w:rPr>
        <w:t>7</w:t>
      </w:r>
      <w:r w:rsidRPr="006951AE">
        <w:rPr>
          <w:rFonts w:ascii="Times New Roman" w:hAnsi="Times New Roman"/>
          <w:b/>
        </w:rPr>
        <w:t>.</w:t>
      </w:r>
      <w:r w:rsidR="00962C33">
        <w:rPr>
          <w:rFonts w:ascii="Times New Roman" w:hAnsi="Times New Roman"/>
          <w:b/>
        </w:rPr>
        <w:t>0</w:t>
      </w:r>
      <w:r w:rsidR="00DF5F6E">
        <w:rPr>
          <w:rFonts w:ascii="Times New Roman" w:hAnsi="Times New Roman"/>
          <w:b/>
        </w:rPr>
        <w:t>8</w:t>
      </w:r>
      <w:r w:rsidRPr="006951AE">
        <w:rPr>
          <w:rFonts w:ascii="Times New Roman" w:hAnsi="Times New Roman"/>
          <w:b/>
        </w:rPr>
        <w:t>.202</w:t>
      </w:r>
      <w:r w:rsidR="00DF5F6E">
        <w:rPr>
          <w:rFonts w:ascii="Times New Roman" w:hAnsi="Times New Roman"/>
          <w:b/>
        </w:rPr>
        <w:t>6</w:t>
      </w:r>
      <w:r>
        <w:rPr>
          <w:rFonts w:ascii="Times New Roman" w:hAnsi="Times New Roman"/>
          <w:b/>
        </w:rPr>
        <w:t>.</w:t>
      </w:r>
    </w:p>
    <w:p w14:paraId="53C394C3" w14:textId="77777777" w:rsidR="00AC7DBF" w:rsidRDefault="009A4C63" w:rsidP="003B1D14">
      <w:pPr>
        <w:jc w:val="right"/>
        <w:rPr>
          <w:rFonts w:eastAsia="SimSun"/>
          <w:b/>
          <w:spacing w:val="26"/>
          <w:sz w:val="22"/>
          <w:szCs w:val="22"/>
          <w:lang w:eastAsia="en-US"/>
        </w:rPr>
      </w:pPr>
      <w:r>
        <w:rPr>
          <w:rFonts w:eastAsia="SimSun"/>
          <w:b/>
          <w:spacing w:val="26"/>
          <w:sz w:val="22"/>
          <w:szCs w:val="22"/>
          <w:lang w:eastAsia="en-US"/>
        </w:rPr>
        <w:t xml:space="preserve">                                                            </w:t>
      </w:r>
    </w:p>
    <w:p w14:paraId="4E72B16C" w14:textId="77777777" w:rsidR="00AC7DBF" w:rsidRDefault="00AC7DBF" w:rsidP="003B1D14">
      <w:pPr>
        <w:jc w:val="right"/>
        <w:rPr>
          <w:rFonts w:eastAsia="SimSun"/>
          <w:b/>
          <w:spacing w:val="26"/>
          <w:sz w:val="22"/>
          <w:szCs w:val="22"/>
          <w:lang w:eastAsia="en-US"/>
        </w:rPr>
      </w:pPr>
    </w:p>
    <w:p w14:paraId="1A77A860" w14:textId="77777777" w:rsidR="00AC7DBF" w:rsidRDefault="00AC7DBF" w:rsidP="003B1D14">
      <w:pPr>
        <w:jc w:val="right"/>
        <w:rPr>
          <w:rFonts w:eastAsia="SimSun"/>
          <w:b/>
          <w:spacing w:val="26"/>
          <w:sz w:val="22"/>
          <w:szCs w:val="22"/>
          <w:lang w:eastAsia="en-US"/>
        </w:rPr>
      </w:pPr>
    </w:p>
    <w:p w14:paraId="7191C475" w14:textId="77777777" w:rsidR="00AC7DBF" w:rsidRDefault="00AC7DBF" w:rsidP="003B1D14">
      <w:pPr>
        <w:jc w:val="right"/>
        <w:rPr>
          <w:rFonts w:eastAsia="SimSun"/>
          <w:b/>
          <w:spacing w:val="26"/>
          <w:sz w:val="22"/>
          <w:szCs w:val="22"/>
          <w:lang w:eastAsia="en-US"/>
        </w:rPr>
      </w:pPr>
    </w:p>
    <w:p w14:paraId="014E8C3F" w14:textId="77777777" w:rsidR="00AC7DBF" w:rsidRDefault="00AC7DBF" w:rsidP="003B1D14">
      <w:pPr>
        <w:jc w:val="right"/>
        <w:rPr>
          <w:rFonts w:eastAsia="SimSun"/>
          <w:b/>
          <w:spacing w:val="26"/>
          <w:sz w:val="22"/>
          <w:szCs w:val="22"/>
          <w:lang w:eastAsia="en-US"/>
        </w:rPr>
      </w:pPr>
    </w:p>
    <w:p w14:paraId="35EA1449" w14:textId="77777777" w:rsidR="00AC7DBF" w:rsidRDefault="00AC7DBF" w:rsidP="003B1D14">
      <w:pPr>
        <w:jc w:val="right"/>
        <w:rPr>
          <w:rFonts w:eastAsia="SimSun"/>
          <w:b/>
          <w:spacing w:val="26"/>
          <w:sz w:val="22"/>
          <w:szCs w:val="22"/>
          <w:lang w:eastAsia="en-US"/>
        </w:rPr>
      </w:pPr>
    </w:p>
    <w:p w14:paraId="62638E46" w14:textId="77777777" w:rsidR="00AC7DBF" w:rsidRDefault="00AC7DBF" w:rsidP="003B1D14">
      <w:pPr>
        <w:jc w:val="right"/>
        <w:rPr>
          <w:rFonts w:eastAsia="SimSun"/>
          <w:b/>
          <w:spacing w:val="26"/>
          <w:sz w:val="22"/>
          <w:szCs w:val="22"/>
          <w:lang w:eastAsia="en-US"/>
        </w:rPr>
      </w:pPr>
    </w:p>
    <w:p w14:paraId="1D734B1C" w14:textId="77777777" w:rsidR="00AC7DBF" w:rsidRDefault="00AC7DBF" w:rsidP="003B1D14">
      <w:pPr>
        <w:jc w:val="right"/>
        <w:rPr>
          <w:rFonts w:eastAsia="SimSun"/>
          <w:b/>
          <w:spacing w:val="26"/>
          <w:sz w:val="22"/>
          <w:szCs w:val="22"/>
          <w:lang w:eastAsia="en-US"/>
        </w:rPr>
      </w:pPr>
    </w:p>
    <w:p w14:paraId="2642996F" w14:textId="77777777" w:rsidR="00AC7DBF" w:rsidRDefault="00AC7DBF" w:rsidP="003B1D14">
      <w:pPr>
        <w:jc w:val="right"/>
        <w:rPr>
          <w:rFonts w:eastAsia="SimSun"/>
          <w:b/>
          <w:spacing w:val="26"/>
          <w:sz w:val="22"/>
          <w:szCs w:val="22"/>
          <w:lang w:eastAsia="en-US"/>
        </w:rPr>
      </w:pPr>
    </w:p>
    <w:p w14:paraId="2EF7E662" w14:textId="77777777" w:rsidR="00AC7DBF" w:rsidRDefault="00AC7DBF" w:rsidP="003B1D14">
      <w:pPr>
        <w:jc w:val="right"/>
        <w:rPr>
          <w:rFonts w:eastAsia="SimSun"/>
          <w:b/>
          <w:spacing w:val="26"/>
          <w:sz w:val="22"/>
          <w:szCs w:val="22"/>
          <w:lang w:eastAsia="en-US"/>
        </w:rPr>
      </w:pPr>
    </w:p>
    <w:p w14:paraId="07B874D1" w14:textId="77777777" w:rsidR="00AC7DBF" w:rsidRDefault="00AC7DBF" w:rsidP="003B1D14">
      <w:pPr>
        <w:jc w:val="right"/>
        <w:rPr>
          <w:rFonts w:eastAsia="SimSun"/>
          <w:b/>
          <w:spacing w:val="26"/>
          <w:sz w:val="22"/>
          <w:szCs w:val="22"/>
          <w:lang w:eastAsia="en-US"/>
        </w:rPr>
      </w:pPr>
    </w:p>
    <w:p w14:paraId="4B523178" w14:textId="77777777" w:rsidR="00AC7DBF" w:rsidRDefault="00AC7DBF" w:rsidP="003B1D14">
      <w:pPr>
        <w:jc w:val="right"/>
        <w:rPr>
          <w:rFonts w:eastAsia="SimSun"/>
          <w:b/>
          <w:spacing w:val="26"/>
          <w:sz w:val="22"/>
          <w:szCs w:val="22"/>
          <w:lang w:eastAsia="en-US"/>
        </w:rPr>
      </w:pPr>
    </w:p>
    <w:p w14:paraId="6C2DF0C4" w14:textId="77777777" w:rsidR="00AC7DBF" w:rsidRDefault="00AC7DBF" w:rsidP="003B1D14">
      <w:pPr>
        <w:jc w:val="right"/>
        <w:rPr>
          <w:rFonts w:eastAsia="SimSun"/>
          <w:b/>
          <w:spacing w:val="26"/>
          <w:sz w:val="22"/>
          <w:szCs w:val="22"/>
          <w:lang w:eastAsia="en-US"/>
        </w:rPr>
      </w:pPr>
    </w:p>
    <w:p w14:paraId="2C32EDAB" w14:textId="77777777" w:rsidR="00AC7DBF" w:rsidRDefault="00AC7DBF" w:rsidP="003B1D14">
      <w:pPr>
        <w:jc w:val="right"/>
        <w:rPr>
          <w:rFonts w:eastAsia="SimSun"/>
          <w:b/>
          <w:spacing w:val="26"/>
          <w:sz w:val="22"/>
          <w:szCs w:val="22"/>
          <w:lang w:eastAsia="en-US"/>
        </w:rPr>
      </w:pPr>
    </w:p>
    <w:p w14:paraId="16A4A5B8" w14:textId="77777777" w:rsidR="0088124C" w:rsidRDefault="0088124C" w:rsidP="003B1D14">
      <w:pPr>
        <w:jc w:val="right"/>
        <w:rPr>
          <w:rFonts w:eastAsia="SimSun"/>
          <w:b/>
          <w:spacing w:val="26"/>
          <w:sz w:val="22"/>
          <w:szCs w:val="22"/>
          <w:lang w:eastAsia="en-US"/>
        </w:rPr>
        <w:sectPr w:rsidR="0088124C" w:rsidSect="0088124C">
          <w:pgSz w:w="11906" w:h="16838"/>
          <w:pgMar w:top="964" w:right="851" w:bottom="567" w:left="992" w:header="709" w:footer="709" w:gutter="0"/>
          <w:cols w:space="720"/>
        </w:sectPr>
      </w:pPr>
    </w:p>
    <w:p w14:paraId="4E7B5483" w14:textId="77777777" w:rsidR="00AC7DBF" w:rsidRDefault="00AC7DBF" w:rsidP="003B1D14">
      <w:pPr>
        <w:jc w:val="right"/>
        <w:rPr>
          <w:rFonts w:eastAsia="SimSun"/>
          <w:b/>
          <w:spacing w:val="26"/>
          <w:sz w:val="22"/>
          <w:szCs w:val="22"/>
          <w:lang w:eastAsia="en-US"/>
        </w:rPr>
      </w:pPr>
    </w:p>
    <w:p w14:paraId="21554181" w14:textId="77777777" w:rsidR="00AC7DBF" w:rsidRDefault="00AC7DBF" w:rsidP="003B1D14">
      <w:pPr>
        <w:jc w:val="right"/>
        <w:rPr>
          <w:rFonts w:eastAsia="SimSun"/>
          <w:b/>
          <w:spacing w:val="26"/>
          <w:sz w:val="22"/>
          <w:szCs w:val="22"/>
          <w:lang w:eastAsia="en-US"/>
        </w:rPr>
      </w:pPr>
    </w:p>
    <w:p w14:paraId="5546B058" w14:textId="77777777" w:rsidR="00AC7DBF" w:rsidRDefault="00AC7DBF" w:rsidP="003B1D14">
      <w:pPr>
        <w:jc w:val="right"/>
        <w:rPr>
          <w:rFonts w:eastAsia="SimSun"/>
          <w:b/>
          <w:spacing w:val="26"/>
          <w:sz w:val="22"/>
          <w:szCs w:val="22"/>
          <w:lang w:eastAsia="en-US"/>
        </w:rPr>
      </w:pPr>
    </w:p>
    <w:p w14:paraId="442B1A19" w14:textId="77777777" w:rsidR="00AC7DBF" w:rsidRDefault="00AC7DBF" w:rsidP="003B1D14">
      <w:pPr>
        <w:jc w:val="right"/>
        <w:rPr>
          <w:rFonts w:eastAsia="SimSun"/>
          <w:b/>
          <w:spacing w:val="26"/>
          <w:sz w:val="22"/>
          <w:szCs w:val="22"/>
          <w:lang w:eastAsia="en-US"/>
        </w:rPr>
      </w:pPr>
    </w:p>
    <w:p w14:paraId="23B15E57" w14:textId="77777777" w:rsidR="00AC7DBF" w:rsidRDefault="00AC7DBF" w:rsidP="003B1D14">
      <w:pPr>
        <w:jc w:val="right"/>
        <w:rPr>
          <w:rFonts w:eastAsia="SimSun"/>
          <w:b/>
          <w:spacing w:val="26"/>
          <w:sz w:val="22"/>
          <w:szCs w:val="22"/>
          <w:lang w:eastAsia="en-US"/>
        </w:rPr>
      </w:pPr>
    </w:p>
    <w:p w14:paraId="64537DEE" w14:textId="77777777" w:rsidR="00AC7DBF" w:rsidRDefault="00AC7DBF" w:rsidP="003B1D14">
      <w:pPr>
        <w:jc w:val="right"/>
        <w:rPr>
          <w:rFonts w:eastAsia="SimSun"/>
          <w:b/>
          <w:spacing w:val="26"/>
          <w:sz w:val="22"/>
          <w:szCs w:val="22"/>
          <w:lang w:eastAsia="en-US"/>
        </w:rPr>
      </w:pPr>
    </w:p>
    <w:p w14:paraId="5FD23ED8" w14:textId="77777777" w:rsidR="00AC7DBF" w:rsidRDefault="00AC7DBF" w:rsidP="003B1D14">
      <w:pPr>
        <w:jc w:val="right"/>
        <w:rPr>
          <w:rFonts w:eastAsia="SimSun"/>
          <w:b/>
          <w:spacing w:val="26"/>
          <w:sz w:val="22"/>
          <w:szCs w:val="22"/>
          <w:lang w:eastAsia="en-US"/>
        </w:rPr>
      </w:pPr>
    </w:p>
    <w:p w14:paraId="686F1A32" w14:textId="77777777" w:rsidR="00AC7DBF" w:rsidRDefault="00AC7DBF" w:rsidP="003B1D14">
      <w:pPr>
        <w:jc w:val="right"/>
        <w:rPr>
          <w:rFonts w:eastAsia="SimSun"/>
          <w:b/>
          <w:spacing w:val="26"/>
          <w:sz w:val="22"/>
          <w:szCs w:val="22"/>
          <w:lang w:eastAsia="en-US"/>
        </w:rPr>
      </w:pPr>
    </w:p>
    <w:p w14:paraId="157DF1FE" w14:textId="77777777" w:rsidR="0088124C" w:rsidRDefault="0088124C" w:rsidP="003B1D14">
      <w:pPr>
        <w:jc w:val="right"/>
        <w:rPr>
          <w:b/>
          <w:spacing w:val="26"/>
          <w:sz w:val="22"/>
          <w:szCs w:val="22"/>
        </w:rPr>
      </w:pPr>
    </w:p>
    <w:p w14:paraId="2EE8AC99" w14:textId="77777777" w:rsidR="0088124C" w:rsidRDefault="0088124C" w:rsidP="003B1D14">
      <w:pPr>
        <w:jc w:val="right"/>
        <w:rPr>
          <w:b/>
          <w:spacing w:val="26"/>
          <w:sz w:val="22"/>
          <w:szCs w:val="22"/>
        </w:rPr>
      </w:pPr>
    </w:p>
    <w:p w14:paraId="3235473E" w14:textId="77777777" w:rsidR="0088124C" w:rsidRDefault="0088124C" w:rsidP="003B1D14">
      <w:pPr>
        <w:jc w:val="right"/>
        <w:rPr>
          <w:b/>
          <w:spacing w:val="26"/>
          <w:sz w:val="22"/>
          <w:szCs w:val="22"/>
        </w:rPr>
      </w:pPr>
    </w:p>
    <w:p w14:paraId="71BE427F" w14:textId="77777777" w:rsidR="0088124C" w:rsidRDefault="0088124C" w:rsidP="003B1D14">
      <w:pPr>
        <w:jc w:val="right"/>
        <w:rPr>
          <w:b/>
          <w:spacing w:val="26"/>
          <w:sz w:val="22"/>
          <w:szCs w:val="22"/>
        </w:rPr>
      </w:pPr>
    </w:p>
    <w:p w14:paraId="359C084F" w14:textId="77777777" w:rsidR="0088124C" w:rsidRDefault="0088124C" w:rsidP="003B1D14">
      <w:pPr>
        <w:jc w:val="right"/>
        <w:rPr>
          <w:b/>
          <w:spacing w:val="26"/>
          <w:sz w:val="22"/>
          <w:szCs w:val="22"/>
        </w:rPr>
      </w:pPr>
    </w:p>
    <w:p w14:paraId="5BBB394C" w14:textId="77777777" w:rsidR="0088124C" w:rsidRDefault="0088124C" w:rsidP="003B1D14">
      <w:pPr>
        <w:jc w:val="right"/>
        <w:rPr>
          <w:b/>
          <w:spacing w:val="26"/>
          <w:sz w:val="22"/>
          <w:szCs w:val="22"/>
        </w:rPr>
      </w:pPr>
    </w:p>
    <w:p w14:paraId="56B7E1C7" w14:textId="77777777" w:rsidR="0088124C" w:rsidRDefault="0088124C" w:rsidP="003B1D14">
      <w:pPr>
        <w:jc w:val="right"/>
        <w:rPr>
          <w:b/>
          <w:spacing w:val="26"/>
          <w:sz w:val="22"/>
          <w:szCs w:val="22"/>
        </w:rPr>
      </w:pPr>
    </w:p>
    <w:p w14:paraId="07EFD3FF" w14:textId="77777777" w:rsidR="0088124C" w:rsidRDefault="0088124C" w:rsidP="003B1D14">
      <w:pPr>
        <w:jc w:val="right"/>
        <w:rPr>
          <w:b/>
          <w:spacing w:val="26"/>
          <w:sz w:val="22"/>
          <w:szCs w:val="22"/>
        </w:rPr>
      </w:pPr>
    </w:p>
    <w:p w14:paraId="7B8FFD85" w14:textId="675D78CA" w:rsidR="003B1D14" w:rsidRDefault="000D510C" w:rsidP="003B1D14">
      <w:pPr>
        <w:jc w:val="right"/>
        <w:rPr>
          <w:rFonts w:eastAsia="Times New Roman"/>
          <w:b/>
          <w:color w:val="020C22"/>
          <w:sz w:val="22"/>
          <w:szCs w:val="22"/>
        </w:rPr>
      </w:pPr>
      <w:r>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lastRenderedPageBreak/>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rsidSect="0088124C">
          <w:pgSz w:w="16838" w:h="11906" w:orient="landscape"/>
          <w:pgMar w:top="992" w:right="964"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88124C">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840EC">
        <w:rPr>
          <w:i/>
          <w:iCs/>
        </w:rPr>
        <w:t>репо</w:t>
      </w:r>
      <w:proofErr w:type="spellEnd"/>
      <w:r w:rsidRPr="00C840EC">
        <w:rPr>
          <w:i/>
          <w:iCs/>
        </w:rPr>
        <w:t>,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6"/>
  </w:num>
  <w:num w:numId="3" w16cid:durableId="1808935948">
    <w:abstractNumId w:val="6"/>
  </w:num>
  <w:num w:numId="4" w16cid:durableId="780297710">
    <w:abstractNumId w:val="11"/>
  </w:num>
  <w:num w:numId="5" w16cid:durableId="1246962416">
    <w:abstractNumId w:val="29"/>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2"/>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7"/>
  </w:num>
  <w:num w:numId="18" w16cid:durableId="1933278599">
    <w:abstractNumId w:val="20"/>
  </w:num>
  <w:num w:numId="19" w16cid:durableId="1757820116">
    <w:abstractNumId w:val="18"/>
  </w:num>
  <w:num w:numId="20" w16cid:durableId="1955672001">
    <w:abstractNumId w:val="31"/>
  </w:num>
  <w:num w:numId="21" w16cid:durableId="1414622104">
    <w:abstractNumId w:val="4"/>
  </w:num>
  <w:num w:numId="22" w16cid:durableId="41173693">
    <w:abstractNumId w:val="12"/>
  </w:num>
  <w:num w:numId="23" w16cid:durableId="1307660468">
    <w:abstractNumId w:val="28"/>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4"/>
  </w:num>
  <w:num w:numId="27" w16cid:durableId="457146318">
    <w:abstractNumId w:val="30"/>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3"/>
  </w:num>
  <w:num w:numId="34" w16cid:durableId="291135354">
    <w:abstractNumId w:val="25"/>
  </w:num>
  <w:num w:numId="35" w16cid:durableId="691341531">
    <w:abstractNumId w:val="35"/>
  </w:num>
  <w:num w:numId="36" w16cid:durableId="392890713">
    <w:abstractNumId w:val="7"/>
  </w:num>
  <w:num w:numId="37" w16cid:durableId="2056923264">
    <w:abstractNumId w:val="25"/>
  </w:num>
  <w:num w:numId="38" w16cid:durableId="726680771">
    <w:abstractNumId w:val="33"/>
  </w:num>
  <w:num w:numId="39" w16cid:durableId="177232258">
    <w:abstractNumId w:val="2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1F90"/>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55EA"/>
    <w:rsid w:val="00106272"/>
    <w:rsid w:val="001067B3"/>
    <w:rsid w:val="00106D8D"/>
    <w:rsid w:val="001074B4"/>
    <w:rsid w:val="00110CDD"/>
    <w:rsid w:val="00115566"/>
    <w:rsid w:val="00115612"/>
    <w:rsid w:val="001224A6"/>
    <w:rsid w:val="00122D65"/>
    <w:rsid w:val="00123FFA"/>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130A"/>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2529"/>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202D"/>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0FA7"/>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38E"/>
    <w:rsid w:val="00317D37"/>
    <w:rsid w:val="003212B8"/>
    <w:rsid w:val="00321BD3"/>
    <w:rsid w:val="00322770"/>
    <w:rsid w:val="00327994"/>
    <w:rsid w:val="00327D67"/>
    <w:rsid w:val="003316D0"/>
    <w:rsid w:val="00331A50"/>
    <w:rsid w:val="00335E0B"/>
    <w:rsid w:val="00337467"/>
    <w:rsid w:val="00350803"/>
    <w:rsid w:val="00350E78"/>
    <w:rsid w:val="0035166F"/>
    <w:rsid w:val="003525A2"/>
    <w:rsid w:val="00354979"/>
    <w:rsid w:val="00354A2A"/>
    <w:rsid w:val="003557D0"/>
    <w:rsid w:val="003608C5"/>
    <w:rsid w:val="00360F4A"/>
    <w:rsid w:val="00361C17"/>
    <w:rsid w:val="00364213"/>
    <w:rsid w:val="003652A9"/>
    <w:rsid w:val="003664B9"/>
    <w:rsid w:val="00370BD8"/>
    <w:rsid w:val="00372341"/>
    <w:rsid w:val="00373294"/>
    <w:rsid w:val="00373402"/>
    <w:rsid w:val="00375B6B"/>
    <w:rsid w:val="003769B4"/>
    <w:rsid w:val="0038024D"/>
    <w:rsid w:val="00380DD9"/>
    <w:rsid w:val="00381181"/>
    <w:rsid w:val="003844A1"/>
    <w:rsid w:val="0038523F"/>
    <w:rsid w:val="00386888"/>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4078"/>
    <w:rsid w:val="003B5A9C"/>
    <w:rsid w:val="003B68C2"/>
    <w:rsid w:val="003B7F04"/>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AC6"/>
    <w:rsid w:val="00432BF4"/>
    <w:rsid w:val="00435D43"/>
    <w:rsid w:val="0043606D"/>
    <w:rsid w:val="00436353"/>
    <w:rsid w:val="00441A66"/>
    <w:rsid w:val="00445E2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2B59"/>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1245"/>
    <w:rsid w:val="00632D37"/>
    <w:rsid w:val="00635836"/>
    <w:rsid w:val="006371EB"/>
    <w:rsid w:val="00637525"/>
    <w:rsid w:val="006416FE"/>
    <w:rsid w:val="00643F33"/>
    <w:rsid w:val="006520C6"/>
    <w:rsid w:val="006524F6"/>
    <w:rsid w:val="00653BDA"/>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51AE"/>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2C46"/>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124C"/>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2C33"/>
    <w:rsid w:val="00964C72"/>
    <w:rsid w:val="00965EC9"/>
    <w:rsid w:val="00967B79"/>
    <w:rsid w:val="00971BC6"/>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5014"/>
    <w:rsid w:val="009D5200"/>
    <w:rsid w:val="009E2FF7"/>
    <w:rsid w:val="009E5542"/>
    <w:rsid w:val="009E6083"/>
    <w:rsid w:val="009E708D"/>
    <w:rsid w:val="009F00A5"/>
    <w:rsid w:val="009F49D5"/>
    <w:rsid w:val="009F666E"/>
    <w:rsid w:val="00A0013B"/>
    <w:rsid w:val="00A03B23"/>
    <w:rsid w:val="00A04F3B"/>
    <w:rsid w:val="00A0575A"/>
    <w:rsid w:val="00A137E1"/>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DBF"/>
    <w:rsid w:val="00AC7E5A"/>
    <w:rsid w:val="00AD08B6"/>
    <w:rsid w:val="00AD0C83"/>
    <w:rsid w:val="00AD393B"/>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1C9"/>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B72E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02FA"/>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1001D"/>
    <w:rsid w:val="00D10290"/>
    <w:rsid w:val="00D1172F"/>
    <w:rsid w:val="00D13805"/>
    <w:rsid w:val="00D14548"/>
    <w:rsid w:val="00D14C04"/>
    <w:rsid w:val="00D16B62"/>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96983"/>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5F6E"/>
    <w:rsid w:val="00DF62F4"/>
    <w:rsid w:val="00DF75C7"/>
    <w:rsid w:val="00DF7670"/>
    <w:rsid w:val="00E029FA"/>
    <w:rsid w:val="00E03DE7"/>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46FA"/>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14</Pages>
  <Words>4222</Words>
  <Characters>29663</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33818</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171</cp:revision>
  <cp:lastPrinted>2018-05-14T07:32:00Z</cp:lastPrinted>
  <dcterms:created xsi:type="dcterms:W3CDTF">2023-07-31T07:04:00Z</dcterms:created>
  <dcterms:modified xsi:type="dcterms:W3CDTF">2026-06-29T04:13:00Z</dcterms:modified>
</cp:coreProperties>
</file>