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96B9" w14:textId="77777777" w:rsidR="007C0CCD" w:rsidRDefault="007C0CCD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33272403"/>
    </w:p>
    <w:p w14:paraId="08CA5DFE" w14:textId="4F24DDA3" w:rsidR="00AA1E9B" w:rsidRPr="007C0CCD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C0CCD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№3 </w:t>
      </w:r>
    </w:p>
    <w:bookmarkEnd w:id="0"/>
    <w:p w14:paraId="09F75CE3" w14:textId="77777777" w:rsidR="005D4CE1" w:rsidRDefault="005D4CE1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43400472" w:rsidR="00950BF6" w:rsidRPr="00A5621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760D6F83" w14:textId="77777777" w:rsidR="005D4CE1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</w:t>
      </w:r>
    </w:p>
    <w:p w14:paraId="1FCCCA4D" w14:textId="74E8D967" w:rsidR="00FA056F" w:rsidRDefault="005D4CE1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г. ____________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5D4CE1">
        <w:rPr>
          <w:rFonts w:ascii="Times New Roman" w:eastAsia="Calibri" w:hAnsi="Times New Roman" w:cs="Times New Roman"/>
          <w:sz w:val="23"/>
          <w:szCs w:val="23"/>
        </w:rPr>
        <w:t>«</w:t>
      </w:r>
      <w:proofErr w:type="gramEnd"/>
      <w:r w:rsidRPr="005D4CE1">
        <w:rPr>
          <w:rFonts w:ascii="Times New Roman" w:eastAsia="Calibri" w:hAnsi="Times New Roman" w:cs="Times New Roman"/>
          <w:sz w:val="23"/>
          <w:szCs w:val="23"/>
        </w:rPr>
        <w:t>___» _________202__г.</w:t>
      </w:r>
    </w:p>
    <w:p w14:paraId="6888DE53" w14:textId="77777777" w:rsidR="005D4CE1" w:rsidRPr="00A56218" w:rsidRDefault="005D4CE1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1762B7E7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</w:t>
      </w:r>
      <w:r w:rsidR="005D4C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515B64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5D4C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1106A8" w:rsidRPr="00A56218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с одной стороны, </w:t>
      </w:r>
    </w:p>
    <w:p w14:paraId="4B637247" w14:textId="4736A892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являющегося муниципальной собственностью и закрепленного на праве хозяйственного ведения за Муниципальным предприятием по эксплуатации, содержанию общежитий городского округа Самара </w:t>
      </w:r>
      <w:bookmarkStart w:id="1" w:name="_Hlk233119836"/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9227A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631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6033540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bookmarkEnd w:id="1"/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МП ЭСО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</w:t>
      </w:r>
      <w:proofErr w:type="spellStart"/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хххххх</w:t>
      </w:r>
      <w:proofErr w:type="spellEnd"/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356A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6117120C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proofErr w:type="spellStart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2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2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46E26090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</w:t>
      </w:r>
      <w:r w:rsidR="00515B64"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(НДС не облагается на основании пункта 1 статьи 145.1 Налогового кодекса РФ) 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 в размере </w:t>
      </w:r>
      <w:r w:rsidR="00BD2879" w:rsidRPr="00BD28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2,5% (две целых пять десятых процента)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цены Лота, определенной по итогам аукциона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2F62677B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</w:t>
      </w:r>
      <w:r w:rsidR="00515B64"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(НДС не облагается на основании пункта 1 статьи 145.1 Налогового кодекса РФ) 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 в размере </w:t>
      </w:r>
      <w:r w:rsidR="00BD2879" w:rsidRPr="00BD28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2,5% (две целых пять десятых процента)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</w:t>
      </w:r>
      <w:r w:rsidR="00533E4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ьной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 Лота, указанной в информационном сообщени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и, </w:t>
      </w:r>
    </w:p>
    <w:p w14:paraId="48FBEAA3" w14:textId="7C270265" w:rsidR="00BD4F7B" w:rsidRPr="00A56218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</w:t>
      </w:r>
      <w:r w:rsidR="00515B64"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(НДС не облагается на основании пункта 1 статьи 145.1 Налогового кодекса РФ) 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 в размере </w:t>
      </w:r>
      <w:bookmarkStart w:id="3" w:name="_Hlk233121255"/>
      <w:r w:rsidR="00515B64"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>2,5</w:t>
      </w:r>
      <w:r w:rsidR="00BD2879">
        <w:rPr>
          <w:rFonts w:ascii="Times New Roman" w:eastAsia="Times New Roman" w:hAnsi="Times New Roman" w:cs="Times New Roman"/>
          <w:sz w:val="23"/>
          <w:szCs w:val="23"/>
          <w:lang w:eastAsia="ru-RU"/>
        </w:rPr>
        <w:t>%</w:t>
      </w:r>
      <w:r w:rsidR="00515B64"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(две целых пять десятых</w:t>
      </w:r>
      <w:r w:rsidR="00BD28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процента</w:t>
      </w:r>
      <w:r w:rsidR="00515B64"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bookmarkEnd w:id="3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r w:rsidRPr="00A56218">
        <w:rPr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цены, предложенной таким участником.</w:t>
      </w:r>
    </w:p>
    <w:p w14:paraId="435FF0A3" w14:textId="2FA3B7CF" w:rsidR="000408F1" w:rsidRPr="00A5621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4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4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5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5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523B2C1A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0C2F6ED8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lastRenderedPageBreak/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г., НДС </w:t>
      </w:r>
      <w:r w:rsid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облагается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14:paraId="4D2E5B51" w14:textId="285E200D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оглашения о выплате вознаграждения, а подача заявки на участие в торгах является акцептом такой 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2ABE7B7" w14:textId="4E190EBF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 xml:space="preserve">. </w:t>
      </w:r>
      <w:r w:rsidR="00515B64" w:rsidRPr="00515B64">
        <w:rPr>
          <w:rFonts w:ascii="Times New Roman" w:hAnsi="Times New Roman"/>
          <w:sz w:val="23"/>
          <w:szCs w:val="23"/>
        </w:rPr>
        <w:t>В случае возникновения споров по вопросам выплаты вознаграждения, неурегулированных путем переговоров, такие споры подлежат разрешению в судебном порядке по месту нахождения Организатор торгов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 Российской Федерации.</w:t>
      </w:r>
    </w:p>
    <w:p w14:paraId="67E51B5D" w14:textId="553C93CB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15AA11F7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515B64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и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подписи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Сторон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3163BA75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</w:t>
            </w:r>
            <w:r w:rsidR="00515B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31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3F640EFA" w14:textId="77777777" w:rsidR="00515B6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</w:p>
          <w:p w14:paraId="672098F5" w14:textId="7E167A70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68131B74" w14:textId="77777777" w:rsidR="00B44FFD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ПРЕТЕНДЕНТ</w:t>
            </w:r>
            <w:r w:rsidRPr="0052331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14:paraId="2060075F" w14:textId="77777777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6E8956DC" w14:textId="4CC108E3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</w:t>
            </w:r>
          </w:p>
          <w:p w14:paraId="3BD56553" w14:textId="25D61CE0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04ABD3E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6D9C27D" w14:textId="3E4ABEFA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520DFE50" w14:textId="3B06FB8B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7DE22FA1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694A3B42" w:rsidR="00FA056F" w:rsidRPr="00D66061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061">
              <w:rPr>
                <w:rFonts w:ascii="Times New Roman" w:eastAsia="SimSun" w:hAnsi="Times New Roman"/>
                <w:bCs/>
                <w:i/>
                <w:kern w:val="1"/>
                <w:sz w:val="20"/>
                <w:szCs w:val="20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D66061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)</w:t>
            </w:r>
          </w:p>
        </w:tc>
      </w:tr>
    </w:tbl>
    <w:p w14:paraId="548F0BC5" w14:textId="370CAD3D" w:rsidR="00A364F3" w:rsidRPr="00A56218" w:rsidRDefault="00705A5F" w:rsidP="00705A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ПРЕТЕНДЕНТА</w:t>
      </w:r>
    </w:p>
    <w:p w14:paraId="0EC36168" w14:textId="77777777" w:rsidR="00A364F3" w:rsidRPr="00A56218" w:rsidRDefault="00A364F3" w:rsidP="00A36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456BFB0" w14:textId="77777777" w:rsidR="00515B64" w:rsidRPr="00515B64" w:rsidRDefault="00515B64" w:rsidP="00515B6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3939F3AF" w:rsidR="00A364F3" w:rsidRPr="00A56218" w:rsidRDefault="00515B64" w:rsidP="00515B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________________/ </w:t>
      </w:r>
      <w:r w:rsidR="00A802E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</w:t>
      </w:r>
      <w:r w:rsidRPr="00515B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                                       </w:t>
      </w:r>
      <w:r w:rsidR="00A364F3"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24F8B"/>
    <w:rsid w:val="000356AE"/>
    <w:rsid w:val="000357BA"/>
    <w:rsid w:val="000408F1"/>
    <w:rsid w:val="00044BB2"/>
    <w:rsid w:val="000526FE"/>
    <w:rsid w:val="00064E07"/>
    <w:rsid w:val="00070930"/>
    <w:rsid w:val="000A04CB"/>
    <w:rsid w:val="000A1559"/>
    <w:rsid w:val="000B38C0"/>
    <w:rsid w:val="000D2FC3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A5298"/>
    <w:rsid w:val="002B5DCE"/>
    <w:rsid w:val="002E2EF3"/>
    <w:rsid w:val="002F4518"/>
    <w:rsid w:val="002F6CE1"/>
    <w:rsid w:val="00306862"/>
    <w:rsid w:val="00307114"/>
    <w:rsid w:val="00311FE0"/>
    <w:rsid w:val="00330222"/>
    <w:rsid w:val="0037416F"/>
    <w:rsid w:val="00390272"/>
    <w:rsid w:val="003A2EB1"/>
    <w:rsid w:val="003B3D09"/>
    <w:rsid w:val="003C2C1E"/>
    <w:rsid w:val="003E625B"/>
    <w:rsid w:val="0041243A"/>
    <w:rsid w:val="00416A1E"/>
    <w:rsid w:val="0044160F"/>
    <w:rsid w:val="00445FA3"/>
    <w:rsid w:val="004472FF"/>
    <w:rsid w:val="00450D23"/>
    <w:rsid w:val="00493F9E"/>
    <w:rsid w:val="004D5841"/>
    <w:rsid w:val="004F1F45"/>
    <w:rsid w:val="004F3900"/>
    <w:rsid w:val="004F483F"/>
    <w:rsid w:val="00515B64"/>
    <w:rsid w:val="00533E44"/>
    <w:rsid w:val="00575C80"/>
    <w:rsid w:val="005778D8"/>
    <w:rsid w:val="00583814"/>
    <w:rsid w:val="00586CBE"/>
    <w:rsid w:val="005A7F60"/>
    <w:rsid w:val="005B407B"/>
    <w:rsid w:val="005D4CE1"/>
    <w:rsid w:val="005E45A9"/>
    <w:rsid w:val="0060776A"/>
    <w:rsid w:val="00617AF7"/>
    <w:rsid w:val="00631DCC"/>
    <w:rsid w:val="006431AB"/>
    <w:rsid w:val="00657AF9"/>
    <w:rsid w:val="006A12C8"/>
    <w:rsid w:val="006F0438"/>
    <w:rsid w:val="006F6B22"/>
    <w:rsid w:val="00705A5F"/>
    <w:rsid w:val="00721887"/>
    <w:rsid w:val="00726A7D"/>
    <w:rsid w:val="00742C6C"/>
    <w:rsid w:val="0074635B"/>
    <w:rsid w:val="00763069"/>
    <w:rsid w:val="00772577"/>
    <w:rsid w:val="00776AC0"/>
    <w:rsid w:val="007970F0"/>
    <w:rsid w:val="007A7431"/>
    <w:rsid w:val="007C0CCD"/>
    <w:rsid w:val="007C207B"/>
    <w:rsid w:val="007E3F27"/>
    <w:rsid w:val="007F1BDA"/>
    <w:rsid w:val="007F3487"/>
    <w:rsid w:val="00801ABB"/>
    <w:rsid w:val="008650ED"/>
    <w:rsid w:val="0088042D"/>
    <w:rsid w:val="008C1F34"/>
    <w:rsid w:val="008C3803"/>
    <w:rsid w:val="008D7FBB"/>
    <w:rsid w:val="00907BFB"/>
    <w:rsid w:val="009227A2"/>
    <w:rsid w:val="009355D5"/>
    <w:rsid w:val="00950BF6"/>
    <w:rsid w:val="00985E64"/>
    <w:rsid w:val="00986901"/>
    <w:rsid w:val="009936AE"/>
    <w:rsid w:val="009A6FF0"/>
    <w:rsid w:val="009A7CCD"/>
    <w:rsid w:val="009C1323"/>
    <w:rsid w:val="009C5219"/>
    <w:rsid w:val="009D5B88"/>
    <w:rsid w:val="009E1B6B"/>
    <w:rsid w:val="009E7283"/>
    <w:rsid w:val="00A030DB"/>
    <w:rsid w:val="00A26CCC"/>
    <w:rsid w:val="00A364F3"/>
    <w:rsid w:val="00A4162B"/>
    <w:rsid w:val="00A56218"/>
    <w:rsid w:val="00A77CC8"/>
    <w:rsid w:val="00A802EC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93534"/>
    <w:rsid w:val="00B96560"/>
    <w:rsid w:val="00BB4889"/>
    <w:rsid w:val="00BD2879"/>
    <w:rsid w:val="00BD4F7B"/>
    <w:rsid w:val="00BD7082"/>
    <w:rsid w:val="00BE0B60"/>
    <w:rsid w:val="00BF12E8"/>
    <w:rsid w:val="00BF18E2"/>
    <w:rsid w:val="00BF403E"/>
    <w:rsid w:val="00BF5D55"/>
    <w:rsid w:val="00C46E28"/>
    <w:rsid w:val="00C649D3"/>
    <w:rsid w:val="00C72B5D"/>
    <w:rsid w:val="00C762AA"/>
    <w:rsid w:val="00C81621"/>
    <w:rsid w:val="00C90DC7"/>
    <w:rsid w:val="00C91202"/>
    <w:rsid w:val="00C91F3C"/>
    <w:rsid w:val="00C93E41"/>
    <w:rsid w:val="00CA1705"/>
    <w:rsid w:val="00CA5122"/>
    <w:rsid w:val="00CB17B4"/>
    <w:rsid w:val="00CC4846"/>
    <w:rsid w:val="00CF2BC0"/>
    <w:rsid w:val="00CF634E"/>
    <w:rsid w:val="00D0142C"/>
    <w:rsid w:val="00D402F6"/>
    <w:rsid w:val="00D45105"/>
    <w:rsid w:val="00D4671F"/>
    <w:rsid w:val="00D66061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8108E"/>
    <w:rsid w:val="00E94F94"/>
    <w:rsid w:val="00EC3A0D"/>
    <w:rsid w:val="00EC4638"/>
    <w:rsid w:val="00ED38F8"/>
    <w:rsid w:val="00F0413C"/>
    <w:rsid w:val="00F26B2A"/>
    <w:rsid w:val="00F30173"/>
    <w:rsid w:val="00F33990"/>
    <w:rsid w:val="00F356F0"/>
    <w:rsid w:val="00F43716"/>
    <w:rsid w:val="00FA056F"/>
    <w:rsid w:val="00FB4EAB"/>
    <w:rsid w:val="00FB6147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  <w:style w:type="paragraph" w:styleId="ae">
    <w:name w:val="No Spacing"/>
    <w:uiPriority w:val="1"/>
    <w:qFormat/>
    <w:rsid w:val="005D4CE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10</cp:revision>
  <dcterms:created xsi:type="dcterms:W3CDTF">2024-12-10T07:42:00Z</dcterms:created>
  <dcterms:modified xsi:type="dcterms:W3CDTF">2026-06-25T06:39:00Z</dcterms:modified>
</cp:coreProperties>
</file>