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b w:val="false"/>
          <w:bCs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Комплекс объектов завода металлических конструкций.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z w:val="24"/>
          <w:szCs w:val="24"/>
          <w:shd w:fill="auto" w:val="clear"/>
        </w:rPr>
        <w:t>Адрес местонахождения предмета продажи:</w:t>
      </w:r>
      <w:r>
        <w:rPr>
          <w:sz w:val="24"/>
          <w:szCs w:val="24"/>
          <w:shd w:fill="auto" w:val="clear"/>
        </w:rPr>
        <w:t xml:space="preserve"> Магаданская область, </w:t>
      </w:r>
      <w:r>
        <w:rPr>
          <w:i w:val="false"/>
          <w:iCs w:val="false"/>
          <w:sz w:val="24"/>
          <w:szCs w:val="24"/>
          <w:shd w:fill="auto" w:val="clear"/>
        </w:rPr>
        <w:t>г. Магадан, пгт. Уптар, ул. Усть-Илимская, д. б/н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i/>
          <w:sz w:val="24"/>
        </w:rPr>
        <w:t xml:space="preserve">Краткое описание </w:t>
      </w:r>
      <w:r>
        <w:rPr>
          <w:i/>
          <w:sz w:val="24"/>
          <w:shd w:fill="auto" w:val="clear"/>
        </w:rPr>
        <w:t>Предмета</w:t>
      </w:r>
      <w:r>
        <w:rPr>
          <w:i/>
          <w:sz w:val="24"/>
        </w:rPr>
        <w:t xml:space="preserve"> продажи:</w:t>
      </w:r>
      <w:r>
        <w:rPr>
          <w:sz w:val="24"/>
        </w:rPr>
        <w:t xml:space="preserve"> 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bCs/>
          <w:kern w:val="0"/>
          <w:sz w:val="24"/>
          <w:lang w:val="ru-RU" w:bidi="ar-SA"/>
        </w:rPr>
        <w:t>Административно-бытовой корпус со стройбазой</w:t>
      </w:r>
      <w:r>
        <w:rPr>
          <w:b w:val="false"/>
          <w:bCs/>
          <w:sz w:val="24"/>
        </w:rPr>
        <w:t>, с кадастровым номером 49:09:000000:2098</w:t>
      </w:r>
      <w:r>
        <w:rPr>
          <w:b w:val="false"/>
          <w:sz w:val="24"/>
        </w:rPr>
        <w:t>, площадью 5 099,7 кв.м;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sz w:val="24"/>
        </w:rPr>
        <w:t xml:space="preserve"> </w:t>
      </w:r>
      <w:r>
        <w:rPr>
          <w:b w:val="false"/>
          <w:sz w:val="24"/>
        </w:rPr>
        <w:t>Кран козловой ККС 10 (с подкрановыми путями), 1987 года выпуска</w:t>
      </w:r>
      <w:r>
        <w:rPr>
          <w:b w:val="false"/>
          <w:bCs/>
          <w:sz w:val="24"/>
        </w:rPr>
        <w:t>;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 </w:t>
      </w:r>
      <w:r>
        <w:rPr>
          <w:b w:val="false"/>
          <w:bCs/>
          <w:sz w:val="24"/>
        </w:rPr>
        <w:t>Кран мостовой МК 10 (с подкрановыми путями), 1979 года выпуска;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 </w:t>
      </w:r>
      <w:r>
        <w:rPr>
          <w:b w:val="false"/>
          <w:bCs/>
          <w:sz w:val="24"/>
        </w:rPr>
        <w:t>Кран мостовой МК 5, 1980 года выпуска.</w:t>
      </w:r>
    </w:p>
    <w:p>
      <w:pPr>
        <w:pStyle w:val="Tableheader"/>
        <w:widowControl w:val="false"/>
        <w:ind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>Предмет продажи расположен на земельном участке с кадастровым номером 49:09:020007:225, общей площадью 36 791  кв. м. Земельный участок арендуется у Департамента имущественных и жилищных отношений мэрии г. Магадана на основании Договора аренды земельного участка № АН-49-09-03-16472 от 08.02.2023 г.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1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>
          <w:i w:val="false"/>
          <w:iCs w:val="false"/>
        </w:rPr>
        <w:t>: 33 672 000 (тридцать три миллиона шестьсот семьдесят две тысячи)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336 720 (триста тридцать шесть тысяч семьсот двадцать)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1 010 160 (один миллион десять тысяч сто шестьдесят) рублей 00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«05» августа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«24» июня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«05» августа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«07» августа 2026 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«11» августа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«13» августа 2026г.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542f04"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>
      <w:numPr>
        <w:ilvl w:val="3"/>
      </w:numPr>
    </w:pPr>
    <w:rPr/>
  </w:style>
  <w:style w:type="paragraph" w:styleId="Style15" w:customStyle="1">
    <w:name w:val="Подподпункт"/>
    <w:basedOn w:val="Style14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542f04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AlterOffice/2025.3.1.0$Linux_X86_64 LibreOffice_project/431cd1b79110582f53535c95ed0a2449aadc8bf9</Application>
  <AppVersion>15.0000</AppVersion>
  <Pages>2</Pages>
  <Words>567</Words>
  <Characters>3714</Characters>
  <CharactersWithSpaces>4257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2025-10-06T02:36:00Z</dcterms:created>
  <dc:creator>Грибова Елена Владимировна</dc:creator>
  <dc:description/>
  <dc:language>ru-RU</dc:language>
  <cp:lastModifiedBy>kotova_ea</cp:lastModifiedBy>
  <dcterms:modified xsi:type="dcterms:W3CDTF">2026-06-23T17:36:08Z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