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6220CCB" w14:textId="77777777" w:rsidR="00A56B20" w:rsidRDefault="003D2A5D">
      <w:pPr>
        <w:pStyle w:val="1a"/>
        <w:jc w:val="right"/>
      </w:pPr>
      <w:r>
        <w:rPr>
          <w:b w:val="0"/>
          <w:sz w:val="22"/>
          <w:szCs w:val="22"/>
        </w:rPr>
        <w:t xml:space="preserve">Приложение № 1 </w:t>
      </w:r>
    </w:p>
    <w:p w14:paraId="235194D9" w14:textId="77777777" w:rsidR="00A56B20" w:rsidRDefault="003D2A5D">
      <w:pPr>
        <w:ind w:right="-57"/>
        <w:jc w:val="right"/>
      </w:pPr>
      <w:r>
        <w:rPr>
          <w:sz w:val="22"/>
          <w:szCs w:val="22"/>
        </w:rPr>
        <w:t>к Оферте</w:t>
      </w:r>
    </w:p>
    <w:p w14:paraId="0BC81F27" w14:textId="77777777" w:rsidR="00A56B20" w:rsidRDefault="003D2A5D">
      <w:pPr>
        <w:pStyle w:val="1a"/>
      </w:pPr>
      <w:r>
        <w:rPr>
          <w:sz w:val="24"/>
          <w:szCs w:val="24"/>
        </w:rPr>
        <w:t>Договор о задатке №____</w:t>
      </w:r>
    </w:p>
    <w:p w14:paraId="175FD83D" w14:textId="77777777" w:rsidR="00A56B20" w:rsidRDefault="003D2A5D">
      <w:pPr>
        <w:pStyle w:val="1a"/>
      </w:pPr>
      <w:r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14:paraId="52F7510F" w14:textId="77777777" w:rsidR="00A56B20" w:rsidRDefault="00A56B20">
      <w:pPr>
        <w:pStyle w:val="1a"/>
        <w:rPr>
          <w:b w:val="0"/>
          <w:bCs w:val="0"/>
          <w:spacing w:val="30"/>
          <w:sz w:val="24"/>
          <w:szCs w:val="24"/>
        </w:rPr>
      </w:pPr>
    </w:p>
    <w:p w14:paraId="74ED8F6D" w14:textId="77777777" w:rsidR="00A56B20" w:rsidRDefault="003D2A5D">
      <w:pPr>
        <w:shd w:val="clear" w:color="auto" w:fill="FFFFFF"/>
        <w:tabs>
          <w:tab w:val="left" w:pos="1145"/>
        </w:tabs>
        <w:jc w:val="both"/>
      </w:pPr>
      <w:r>
        <w:rPr>
          <w:b/>
        </w:rPr>
        <w:t>Акционерное общество «Российский аукционный дом»,</w:t>
      </w:r>
      <w:r>
        <w:t xml:space="preserve"> именуемое в дальнейшем «Оператор электронной площадки», в лице </w:t>
      </w:r>
      <w:r>
        <w:rPr>
          <w:sz w:val="22"/>
          <w:szCs w:val="22"/>
        </w:rPr>
        <w:t xml:space="preserve">Заместителя генерального директора </w:t>
      </w:r>
      <w:proofErr w:type="spellStart"/>
      <w:r>
        <w:rPr>
          <w:sz w:val="22"/>
          <w:szCs w:val="22"/>
        </w:rPr>
        <w:t>Канцеровой</w:t>
      </w:r>
      <w:proofErr w:type="spellEnd"/>
      <w:r>
        <w:rPr>
          <w:sz w:val="22"/>
          <w:szCs w:val="22"/>
        </w:rPr>
        <w:t xml:space="preserve"> Елены Владимировны, действующей на основании Доверенности от 01.01.2026 № Д-003, </w:t>
      </w:r>
      <w:r>
        <w:t>и присоединившийся к настоящему Договору</w:t>
      </w:r>
      <w:r>
        <w:rPr>
          <w:b/>
          <w:bCs/>
        </w:rPr>
        <w:t xml:space="preserve"> </w:t>
      </w:r>
      <w:r>
        <w:t>претендент</w:t>
      </w:r>
      <w:r>
        <w:rPr>
          <w:b/>
        </w:rPr>
        <w:t xml:space="preserve"> </w:t>
      </w:r>
      <w:r>
        <w:t xml:space="preserve">_________________________________________________________________________________________________________________________________________________________________________________________________________________________________________________на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продаже, именуемый в дальнейшем </w:t>
      </w:r>
      <w:r>
        <w:rPr>
          <w:b/>
        </w:rPr>
        <w:t xml:space="preserve">«Претендент», </w:t>
      </w:r>
      <w:r>
        <w:t>совместно именуемые «Ст</w:t>
      </w:r>
      <w:r>
        <w:t xml:space="preserve">ороны», в соответствии с требованиями ст.ст.380, 381, 428 ГК РФ, заключили настоящий Договор (далее – </w:t>
      </w:r>
      <w:r>
        <w:t>Договор) о нижеследующем:</w:t>
      </w:r>
    </w:p>
    <w:p w14:paraId="58A446C7" w14:textId="77777777" w:rsidR="00A56B20" w:rsidRDefault="003D2A5D">
      <w:pPr>
        <w:numPr>
          <w:ilvl w:val="0"/>
          <w:numId w:val="1"/>
        </w:numPr>
        <w:ind w:left="0" w:firstLine="624"/>
        <w:jc w:val="both"/>
      </w:pPr>
      <w:r>
        <w:t>В соответствии с условиями настоящего Договора Претендент для участия в торгах в форме аукциона, открытого по составу участников и открытого по форме подачи предложений по цене с применением метода повышения начальной цены («английский аукцион») по продаже</w:t>
      </w:r>
      <w:r>
        <w:t xml:space="preserve"> </w:t>
      </w:r>
      <w:r>
        <w:t>следующего имущества единым лотом:</w:t>
      </w:r>
    </w:p>
    <w:p w14:paraId="313C15A3" w14:textId="77777777" w:rsidR="00A56B20" w:rsidRDefault="00A56B20">
      <w:pPr>
        <w:jc w:val="both"/>
      </w:pPr>
    </w:p>
    <w:p w14:paraId="6916E3C8" w14:textId="77777777" w:rsidR="00A56B20" w:rsidRDefault="003D2A5D">
      <w:pPr>
        <w:ind w:left="-57"/>
        <w:jc w:val="both"/>
        <w:rPr>
          <w:b/>
          <w:bCs/>
        </w:rPr>
      </w:pPr>
      <w:bookmarkStart w:id="0" w:name="_Hlk173159162"/>
      <w:r>
        <w:rPr>
          <w:b/>
          <w:bCs/>
        </w:rPr>
        <w:t>Объект 1:</w:t>
      </w:r>
    </w:p>
    <w:p w14:paraId="2E2D5A21" w14:textId="77777777" w:rsidR="00A56B20" w:rsidRDefault="003D2A5D">
      <w:pPr>
        <w:ind w:left="-57"/>
        <w:jc w:val="both"/>
      </w:pPr>
      <w:r>
        <w:t xml:space="preserve">- Здание </w:t>
      </w:r>
      <w:r>
        <w:rPr>
          <w:bCs/>
        </w:rPr>
        <w:t xml:space="preserve">с кадастровым номером </w:t>
      </w:r>
      <w:r>
        <w:t>52:26:0150001:1128</w:t>
      </w:r>
      <w:r>
        <w:rPr>
          <w:bCs/>
        </w:rPr>
        <w:t xml:space="preserve">,  площадью 2 257,4 </w:t>
      </w:r>
      <w:proofErr w:type="spellStart"/>
      <w:r>
        <w:rPr>
          <w:bCs/>
        </w:rPr>
        <w:t>кв.м</w:t>
      </w:r>
      <w:proofErr w:type="spellEnd"/>
      <w:r>
        <w:rPr>
          <w:bCs/>
        </w:rPr>
        <w:t xml:space="preserve">, назначение: нежилое, наименование: </w:t>
      </w:r>
      <w:r>
        <w:t xml:space="preserve">здание бытового помещения, </w:t>
      </w:r>
      <w:r>
        <w:rPr>
          <w:bCs/>
        </w:rPr>
        <w:t xml:space="preserve">количество этажей 4, в том числе подземных 0, находящееся по </w:t>
      </w:r>
      <w:r>
        <w:t>адресу: Российская Федерация, Нижегородская область, Кстовский муниципальный район, городское поселение город Кстово, район Промышленный, шоссе Центральное, дом 13,</w:t>
      </w:r>
      <w:r>
        <w:rPr>
          <w:bCs/>
        </w:rPr>
        <w:t xml:space="preserve"> </w:t>
      </w:r>
      <w:r>
        <w:t xml:space="preserve">находящееся в собственности , о чем 26.09.2024г. в ЕГРН сделана запись № 52:26:0150001:1128-52/289/2024-38.  </w:t>
      </w:r>
    </w:p>
    <w:p w14:paraId="1CE7821A" w14:textId="77777777" w:rsidR="00A56B20" w:rsidRDefault="003D2A5D">
      <w:pPr>
        <w:ind w:left="-57"/>
        <w:jc w:val="both"/>
        <w:rPr>
          <w:b/>
          <w:bCs/>
        </w:rPr>
      </w:pPr>
      <w:r>
        <w:rPr>
          <w:b/>
          <w:bCs/>
        </w:rPr>
        <w:t xml:space="preserve">Обременения (ограничения) Объекта 1: не зарегистрированы. </w:t>
      </w:r>
    </w:p>
    <w:p w14:paraId="7876D850" w14:textId="77777777" w:rsidR="00A56B20" w:rsidRDefault="003D2A5D">
      <w:pPr>
        <w:ind w:left="-57"/>
        <w:jc w:val="both"/>
        <w:rPr>
          <w:bCs/>
        </w:rPr>
      </w:pPr>
      <w:r>
        <w:rPr>
          <w:bCs/>
        </w:rPr>
        <w:t>Объект 1 продается вместе с движимым имуществом, расположенным в нем, согласно Перечню движимого имущества, указанного в Приложении № 2 к информационному сообщению.</w:t>
      </w:r>
    </w:p>
    <w:p w14:paraId="02557019" w14:textId="77777777" w:rsidR="00A56B20" w:rsidRDefault="003D2A5D">
      <w:pPr>
        <w:ind w:left="-57"/>
        <w:jc w:val="both"/>
        <w:rPr>
          <w:b/>
          <w:bCs/>
        </w:rPr>
      </w:pPr>
      <w:r>
        <w:rPr>
          <w:b/>
          <w:bCs/>
        </w:rPr>
        <w:t>Объект 2:</w:t>
      </w:r>
    </w:p>
    <w:p w14:paraId="22BA2C73" w14:textId="77777777" w:rsidR="00A56B20" w:rsidRDefault="003D2A5D">
      <w:pPr>
        <w:ind w:left="-57"/>
        <w:jc w:val="both"/>
      </w:pPr>
      <w:r>
        <w:t>- Здание</w:t>
      </w:r>
      <w:r>
        <w:rPr>
          <w:bCs/>
        </w:rPr>
        <w:t xml:space="preserve"> с кадастровым номером </w:t>
      </w:r>
      <w:r>
        <w:t>52:26:0000000:1474</w:t>
      </w:r>
      <w:r>
        <w:rPr>
          <w:bCs/>
        </w:rPr>
        <w:t xml:space="preserve">,  площадью 326,8 </w:t>
      </w:r>
      <w:proofErr w:type="spellStart"/>
      <w:r>
        <w:rPr>
          <w:bCs/>
        </w:rPr>
        <w:t>кв.м</w:t>
      </w:r>
      <w:proofErr w:type="spellEnd"/>
      <w:r>
        <w:rPr>
          <w:bCs/>
        </w:rPr>
        <w:t xml:space="preserve">, назначение: нежилое, наименование: </w:t>
      </w:r>
      <w:r>
        <w:t xml:space="preserve">здание финского склада, </w:t>
      </w:r>
      <w:r>
        <w:rPr>
          <w:bCs/>
        </w:rPr>
        <w:t xml:space="preserve">количество этажей 1, в том числе подземных 0, находящееся по </w:t>
      </w:r>
      <w:r>
        <w:t xml:space="preserve">адресу: Нижегородская </w:t>
      </w:r>
      <w:proofErr w:type="spellStart"/>
      <w:r>
        <w:t>обл</w:t>
      </w:r>
      <w:proofErr w:type="spellEnd"/>
      <w:r>
        <w:t>, р-н Кстовский, примерно в 3 км по направлению на юг от г. Кстово,</w:t>
      </w:r>
      <w:r>
        <w:rPr>
          <w:bCs/>
        </w:rPr>
        <w:t xml:space="preserve"> </w:t>
      </w:r>
      <w:r>
        <w:t xml:space="preserve">находящееся в собственности , о чем 24.09.2024г. в ЕГРН сделана запись регистрации № 52:26:0000000:1474-52/295/2024-34. </w:t>
      </w:r>
    </w:p>
    <w:p w14:paraId="5B48088D" w14:textId="77777777" w:rsidR="00A56B20" w:rsidRDefault="003D2A5D">
      <w:pPr>
        <w:ind w:left="-57"/>
        <w:jc w:val="both"/>
        <w:rPr>
          <w:b/>
          <w:bCs/>
        </w:rPr>
      </w:pPr>
      <w:r>
        <w:rPr>
          <w:b/>
          <w:bCs/>
        </w:rPr>
        <w:tab/>
        <w:t xml:space="preserve">Обременения (ограничения) Объекта 2: не зарегистрированы. </w:t>
      </w:r>
    </w:p>
    <w:p w14:paraId="757CF2B8" w14:textId="77777777" w:rsidR="00A56B20" w:rsidRDefault="003D2A5D">
      <w:pPr>
        <w:ind w:left="-57"/>
        <w:jc w:val="both"/>
        <w:rPr>
          <w:b/>
          <w:bCs/>
        </w:rPr>
      </w:pPr>
      <w:r>
        <w:rPr>
          <w:b/>
          <w:bCs/>
        </w:rPr>
        <w:t xml:space="preserve">Объект 3: </w:t>
      </w:r>
    </w:p>
    <w:p w14:paraId="55787374" w14:textId="77777777" w:rsidR="00A56B20" w:rsidRDefault="003D2A5D">
      <w:pPr>
        <w:ind w:left="-57"/>
        <w:jc w:val="both"/>
      </w:pPr>
      <w:r>
        <w:t>- Здание</w:t>
      </w:r>
      <w:r>
        <w:rPr>
          <w:bCs/>
        </w:rPr>
        <w:t xml:space="preserve"> с кадастровым номером </w:t>
      </w:r>
      <w:r>
        <w:t>52:26:0000000:1477</w:t>
      </w:r>
      <w:r>
        <w:rPr>
          <w:bCs/>
        </w:rPr>
        <w:t xml:space="preserve">,  площадью 690,7 </w:t>
      </w:r>
      <w:proofErr w:type="spellStart"/>
      <w:r>
        <w:rPr>
          <w:bCs/>
        </w:rPr>
        <w:t>кв.м</w:t>
      </w:r>
      <w:proofErr w:type="spellEnd"/>
      <w:r>
        <w:rPr>
          <w:bCs/>
        </w:rPr>
        <w:t xml:space="preserve">, назначение: нежилое, наименование: </w:t>
      </w:r>
      <w:r>
        <w:t xml:space="preserve">здание финского склада, </w:t>
      </w:r>
      <w:r>
        <w:rPr>
          <w:bCs/>
        </w:rPr>
        <w:t xml:space="preserve">количество этажей 1, в том числе подземных 0, находящееся по </w:t>
      </w:r>
      <w:r>
        <w:t>адресу: Нижегородская область, р-н Кстовский, примерно в 3 км по направлению на юг от г Кстово,</w:t>
      </w:r>
      <w:r>
        <w:rPr>
          <w:bCs/>
        </w:rPr>
        <w:t xml:space="preserve"> </w:t>
      </w:r>
      <w:r>
        <w:t>находящееся в собственности , о чем 25.09.2024г. в ЕГРН сделана запись регистрации № 52:26:0000000:1477-52/151/2024-34.</w:t>
      </w:r>
    </w:p>
    <w:p w14:paraId="08F217AA" w14:textId="77777777" w:rsidR="00A56B20" w:rsidRDefault="003D2A5D">
      <w:pPr>
        <w:ind w:left="-57"/>
        <w:jc w:val="both"/>
        <w:rPr>
          <w:b/>
          <w:bCs/>
        </w:rPr>
      </w:pPr>
      <w:r>
        <w:tab/>
      </w:r>
      <w:r>
        <w:rPr>
          <w:b/>
          <w:bCs/>
        </w:rPr>
        <w:t xml:space="preserve">Обременения (ограничения) Объекта 3: не зарегистрированы. </w:t>
      </w:r>
    </w:p>
    <w:p w14:paraId="4A828529" w14:textId="77777777" w:rsidR="00A56B20" w:rsidRDefault="003D2A5D">
      <w:pPr>
        <w:ind w:left="-57"/>
        <w:jc w:val="both"/>
        <w:rPr>
          <w:b/>
          <w:bCs/>
        </w:rPr>
      </w:pPr>
      <w:r>
        <w:rPr>
          <w:b/>
          <w:bCs/>
        </w:rPr>
        <w:t>Объект 4:</w:t>
      </w:r>
    </w:p>
    <w:p w14:paraId="0C3B5CC6" w14:textId="77777777" w:rsidR="00A56B20" w:rsidRDefault="003D2A5D">
      <w:pPr>
        <w:ind w:left="-57"/>
        <w:jc w:val="both"/>
      </w:pPr>
      <w:r>
        <w:rPr>
          <w:b/>
        </w:rPr>
        <w:t xml:space="preserve">- </w:t>
      </w:r>
      <w:r>
        <w:t>Земельный участок</w:t>
      </w:r>
      <w:r>
        <w:rPr>
          <w:bCs/>
        </w:rPr>
        <w:t xml:space="preserve"> с кадастровым номером </w:t>
      </w:r>
      <w:r>
        <w:t>52:26:0150002:473,</w:t>
      </w:r>
      <w:r>
        <w:rPr>
          <w:bCs/>
        </w:rPr>
        <w:t xml:space="preserve"> площадью 5 996 +/-27 </w:t>
      </w:r>
      <w:proofErr w:type="spellStart"/>
      <w:r>
        <w:rPr>
          <w:bCs/>
        </w:rPr>
        <w:t>кв.м</w:t>
      </w:r>
      <w:proofErr w:type="spellEnd"/>
      <w:r>
        <w:rPr>
          <w:bCs/>
        </w:rPr>
        <w:t xml:space="preserve">, категория земель: земли населенных пунктов, </w:t>
      </w:r>
      <w:r>
        <w:t>виды разрешенного использования</w:t>
      </w:r>
      <w:r>
        <w:rPr>
          <w:bCs/>
        </w:rPr>
        <w:t xml:space="preserve">: под основной производственной площадкой нефтеперерабатывающего завода, находящийся по адресу: </w:t>
      </w:r>
      <w:r>
        <w:t>Российская Федерация, Нижегородская область, Кстовский район, г. Кстово, внутригородской район Промышленный, шоссе Центральное, земельный участок № 13</w:t>
      </w:r>
      <w:r>
        <w:rPr>
          <w:bCs/>
        </w:rPr>
        <w:t xml:space="preserve">, </w:t>
      </w:r>
      <w:r>
        <w:t>находящийся на правах собственности, о чем в ЕГРН сделана запись регистрации 24.09.2024г</w:t>
      </w:r>
      <w:r>
        <w:rPr>
          <w:bCs/>
        </w:rPr>
        <w:t xml:space="preserve">. </w:t>
      </w:r>
      <w:r>
        <w:t>№ 52:26:0150002:473-52/148/2024-32</w:t>
      </w:r>
      <w:r>
        <w:rPr>
          <w:bCs/>
        </w:rPr>
        <w:t>.</w:t>
      </w:r>
    </w:p>
    <w:p w14:paraId="5C62DA77" w14:textId="77777777" w:rsidR="00A56B20" w:rsidRDefault="003D2A5D">
      <w:pPr>
        <w:ind w:left="-57"/>
        <w:jc w:val="both"/>
        <w:rPr>
          <w:bCs/>
        </w:rPr>
      </w:pPr>
      <w:r>
        <w:rPr>
          <w:bCs/>
        </w:rPr>
        <w:t xml:space="preserve">Особые отметки: Сведения об ограничениях права на объект недвижимости, обременениях данного объекта, не зарегистрированных в реестре прав, ограничений прав и обременений недвижимого имущества: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c 08.04.2015; реквизиты документа-основания: постановление Главного санитарного врача РФ "Об </w:t>
      </w:r>
      <w:r>
        <w:rPr>
          <w:bCs/>
        </w:rPr>
        <w:lastRenderedPageBreak/>
        <w:t>установлении размера санитарно-защитной зоны имущественного комплекса ООО "Лукойл-Нижегороднефтеоргсинтез" на территории промышленной зоны г. Кстово Нижегородской области" от 14.08.2014 № 48 выдан: Федеральная служба по надзору в сфере защиты прав потребителей и благополучия человека (Роспотребнадзор),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c 03.12.2018; реквизиты документа-основания: постановле</w:t>
      </w:r>
      <w:r>
        <w:rPr>
          <w:bCs/>
        </w:rPr>
        <w:t xml:space="preserve">ние от 28.08.2017 № 119 выдан: Главный государственный санитарный врач Российской Федерации А.Ю. Попова.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c 03.09.2022; реквизиты документа-основания: решение "Об установлении санитарно-защитной зоны </w:t>
      </w:r>
      <w:proofErr w:type="spellStart"/>
      <w:r>
        <w:rPr>
          <w:bCs/>
        </w:rPr>
        <w:t>Новогорьковской</w:t>
      </w:r>
      <w:proofErr w:type="spellEnd"/>
      <w:r>
        <w:rPr>
          <w:bCs/>
        </w:rPr>
        <w:t xml:space="preserve"> ТЭЦ филиала «Нижегородский» ПАО «Т Плюс», расположенной по адресу: Нижегородская область, г. Кстово. (земельный участок с КН 52:25:00150002:572)</w:t>
      </w:r>
      <w:r>
        <w:rPr>
          <w:bCs/>
        </w:rPr>
        <w:t>" от 01.12.2021 № 04-146 выдан: Управление Федеральной службы по надзору в сфере защиты прав потребителей и благополучия человека по Нижегородской области.</w:t>
      </w:r>
      <w:bookmarkEnd w:id="0"/>
    </w:p>
    <w:p w14:paraId="5763EC75" w14:textId="77777777" w:rsidR="00A56B20" w:rsidRDefault="003D2A5D">
      <w:pPr>
        <w:ind w:left="-57"/>
        <w:jc w:val="both"/>
      </w:pPr>
      <w:r>
        <w:rPr>
          <w:b/>
          <w:bCs/>
        </w:rPr>
        <w:t xml:space="preserve">Обременения (ограничения) Объекта 4: </w:t>
      </w:r>
    </w:p>
    <w:p w14:paraId="2F732D8E" w14:textId="77777777" w:rsidR="00A56B20" w:rsidRDefault="003D2A5D">
      <w:pPr>
        <w:ind w:left="-57"/>
        <w:jc w:val="both"/>
      </w:pPr>
      <w:r>
        <w:t xml:space="preserve">- Сервитут на основании Соглашения об установлении сервитута земельного участка № ННОС 120875-95 от 15.02.2013, дата государственной регистрации: 06.03.2013 номер государственной регистрации: 52-52-14/805/2013-321, сроком действия с 06.03.2013, срок не определен. </w:t>
      </w:r>
    </w:p>
    <w:p w14:paraId="70A76D63" w14:textId="77777777" w:rsidR="00A56B20" w:rsidRDefault="003D2A5D">
      <w:pPr>
        <w:ind w:left="-57"/>
        <w:jc w:val="both"/>
      </w:pPr>
      <w:r>
        <w:t xml:space="preserve">Лицо, в пользу которого установлены ограничение прав и обременение объекта недвижимости: Общество с ограниченной ответственностью "Лукойл-Нижегороднефтеоргсинтез" (ИНН: 5250043567). </w:t>
      </w:r>
    </w:p>
    <w:p w14:paraId="621C4FC5" w14:textId="77777777" w:rsidR="00A56B20" w:rsidRDefault="003D2A5D">
      <w:pPr>
        <w:ind w:left="-57"/>
        <w:jc w:val="both"/>
      </w:pPr>
      <w:r>
        <w:t xml:space="preserve">(далее – Имущество), </w:t>
      </w:r>
    </w:p>
    <w:p w14:paraId="732D2C7A" w14:textId="19631E3C" w:rsidR="00A56B20" w:rsidRDefault="003D2A5D">
      <w:pPr>
        <w:ind w:right="-57" w:firstLine="567"/>
        <w:jc w:val="both"/>
      </w:pPr>
      <w:r>
        <w:t xml:space="preserve">перечисляет денежные средства </w:t>
      </w:r>
      <w:r>
        <w:rPr>
          <w:b/>
        </w:rPr>
        <w:t xml:space="preserve">в размере </w:t>
      </w:r>
      <w:r w:rsidR="00AF48F8" w:rsidRPr="00AF48F8">
        <w:rPr>
          <w:b/>
          <w:bCs/>
        </w:rPr>
        <w:t xml:space="preserve">7 500 000 (семь миллионов пятьсот тысяч) </w:t>
      </w:r>
      <w:r>
        <w:rPr>
          <w:b/>
        </w:rPr>
        <w:t xml:space="preserve">рублей 00 копеек. </w:t>
      </w:r>
      <w:r>
        <w:t>(далее – «Задаток») на расчетный счет Оператора электронной площадки:</w:t>
      </w:r>
      <w:r>
        <w:rPr>
          <w:bCs/>
          <w:shd w:val="clear" w:color="auto" w:fill="FFFFFF"/>
        </w:rPr>
        <w:t xml:space="preserve"> </w:t>
      </w:r>
    </w:p>
    <w:p w14:paraId="27104473" w14:textId="77777777" w:rsidR="00A56B20" w:rsidRDefault="003D2A5D">
      <w:pPr>
        <w:ind w:firstLine="567"/>
        <w:jc w:val="both"/>
      </w:pPr>
      <w:r>
        <w:rPr>
          <w:b/>
          <w:bCs/>
          <w:u w:val="single"/>
        </w:rPr>
        <w:t>Получатель</w:t>
      </w:r>
      <w:r>
        <w:rPr>
          <w:b/>
          <w:bCs/>
        </w:rPr>
        <w:t xml:space="preserve"> - АО «Российский аукционный дом» (ИНН 7838430413, КПП 783801001):</w:t>
      </w:r>
    </w:p>
    <w:p w14:paraId="361EBAA2" w14:textId="77777777" w:rsidR="00A56B20" w:rsidRDefault="003D2A5D">
      <w:pPr>
        <w:ind w:firstLine="567"/>
        <w:jc w:val="both"/>
      </w:pPr>
      <w:r>
        <w:rPr>
          <w:b/>
          <w:bCs/>
        </w:rPr>
        <w:t>р/с № 40702810355000036459 в СЕВЕРО-ЗАПАДНЫЙ БАНК ПАО СБЕРБАНК,</w:t>
      </w:r>
    </w:p>
    <w:p w14:paraId="53EA9DEF" w14:textId="77777777" w:rsidR="00A56B20" w:rsidRDefault="003D2A5D">
      <w:pPr>
        <w:ind w:firstLine="567"/>
        <w:jc w:val="both"/>
      </w:pPr>
      <w:r>
        <w:rPr>
          <w:b/>
          <w:bCs/>
        </w:rPr>
        <w:t>БИК 044030653, к/с 30101810500000000653.</w:t>
      </w:r>
    </w:p>
    <w:p w14:paraId="6AB9C5CB" w14:textId="77777777" w:rsidR="00A56B20" w:rsidRDefault="003D2A5D">
      <w:pPr>
        <w:ind w:firstLine="567"/>
        <w:jc w:val="both"/>
      </w:pPr>
      <w:r>
        <w:t xml:space="preserve">2. Задаток должен быть внесен Претендентом не позднее даты, указанной в сообщении о продаже </w:t>
      </w:r>
      <w:r>
        <w:rPr>
          <w:bCs/>
        </w:rPr>
        <w:t>Имущества</w:t>
      </w:r>
      <w:r>
        <w:t xml:space="preserve">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bCs/>
        </w:rPr>
        <w:t>Имущества</w:t>
      </w:r>
      <w:r>
        <w:t>. Задаток считается внесенным с даты поступления всей суммы Задатка на указанный счет.</w:t>
      </w:r>
    </w:p>
    <w:p w14:paraId="73E5F321" w14:textId="77777777" w:rsidR="00A56B20" w:rsidRDefault="003D2A5D">
      <w:pPr>
        <w:ind w:firstLine="567"/>
        <w:jc w:val="both"/>
      </w:pPr>
      <w: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>
        <w:rPr>
          <w:bCs/>
        </w:rPr>
        <w:t>Имущества</w:t>
      </w:r>
      <w:r>
        <w:t>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57AD38E4" w14:textId="77777777" w:rsidR="00A56B20" w:rsidRDefault="003D2A5D">
      <w:pPr>
        <w:ind w:firstLine="567"/>
        <w:jc w:val="both"/>
      </w:pPr>
      <w: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2B6C5F11" w14:textId="77777777" w:rsidR="00A56B20" w:rsidRDefault="003D2A5D">
      <w:pPr>
        <w:ind w:firstLine="567"/>
        <w:jc w:val="both"/>
      </w:pPr>
      <w:r>
        <w:t xml:space="preserve">3. Задаток служит обеспечением исполнения обязательств Претендента по заключению по итогам торгов договора и оплате цены продажи </w:t>
      </w:r>
      <w:r>
        <w:rPr>
          <w:bCs/>
        </w:rPr>
        <w:t>Имущества</w:t>
      </w:r>
      <w:r>
        <w:t>, определенной по итогам торгов, и исполнения иных обязательств по заключенному договору в случае признания Претендента победителем торгов, если иное не предусмотрено в информационном сообщении о проведении торгов.</w:t>
      </w:r>
    </w:p>
    <w:p w14:paraId="7787D9A7" w14:textId="77777777" w:rsidR="00A56B20" w:rsidRDefault="003D2A5D">
      <w:pPr>
        <w:ind w:firstLine="567"/>
        <w:jc w:val="both"/>
      </w:pPr>
      <w:r>
        <w:t xml:space="preserve">4. </w:t>
      </w:r>
      <w:bookmarkStart w:id="1" w:name="_Hlk114831194"/>
      <w:bookmarkEnd w:id="1"/>
      <w:r>
        <w:t>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 w14:paraId="31B5CAA3" w14:textId="77777777" w:rsidR="00A56B20" w:rsidRDefault="003D2A5D">
      <w:pPr>
        <w:ind w:firstLine="567"/>
        <w:jc w:val="both"/>
      </w:pPr>
      <w:r>
        <w:t>5. Исполнение обязанности по внесению суммы задатка третьими лицами не допускается.</w:t>
      </w:r>
    </w:p>
    <w:p w14:paraId="262BA981" w14:textId="77777777" w:rsidR="00A56B20" w:rsidRDefault="003D2A5D">
      <w:pPr>
        <w:ind w:firstLine="567"/>
        <w:jc w:val="both"/>
      </w:pPr>
      <w:r>
        <w:t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 (далее – Регламент)</w:t>
      </w:r>
      <w:r>
        <w:rPr>
          <w:rStyle w:val="affa"/>
        </w:rPr>
        <w:footnoteReference w:id="1"/>
      </w:r>
      <w:r>
        <w:t xml:space="preserve">. </w:t>
      </w:r>
    </w:p>
    <w:p w14:paraId="74128EFB" w14:textId="77777777" w:rsidR="00A56B20" w:rsidRDefault="003D2A5D">
      <w:pPr>
        <w:ind w:firstLine="567"/>
        <w:jc w:val="both"/>
      </w:pPr>
      <w:r>
        <w:lastRenderedPageBreak/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в размере суммы Задатка на лицевом счете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07041A37" w14:textId="77777777" w:rsidR="00A56B20" w:rsidRDefault="003D2A5D">
      <w:pPr>
        <w:ind w:firstLine="567"/>
        <w:jc w:val="both"/>
      </w:pPr>
      <w: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 w14:paraId="436E5A2A" w14:textId="77777777" w:rsidR="00A56B20" w:rsidRDefault="003D2A5D">
      <w:pPr>
        <w:ind w:firstLine="567"/>
        <w:jc w:val="both"/>
      </w:pPr>
      <w:r>
        <w:t xml:space="preserve"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договора, подлежащего заключению по итогам торгов. </w:t>
      </w:r>
    </w:p>
    <w:p w14:paraId="7B85E135" w14:textId="77777777" w:rsidR="00A56B20" w:rsidRDefault="00A56B20">
      <w:pPr>
        <w:jc w:val="both"/>
      </w:pPr>
    </w:p>
    <w:p w14:paraId="5A1DBA4B" w14:textId="77777777" w:rsidR="00A56B20" w:rsidRDefault="003D2A5D">
      <w:pPr>
        <w:ind w:firstLine="284"/>
        <w:jc w:val="center"/>
      </w:pPr>
      <w:r>
        <w:rPr>
          <w:b/>
          <w:bCs/>
        </w:rPr>
        <w:t>Реквизиты сторон:</w:t>
      </w:r>
    </w:p>
    <w:p w14:paraId="4180BBD1" w14:textId="77777777" w:rsidR="00A56B20" w:rsidRDefault="00A56B20">
      <w:pPr>
        <w:ind w:firstLine="284"/>
        <w:jc w:val="center"/>
        <w:rPr>
          <w:b/>
          <w:bCs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786"/>
        <w:gridCol w:w="764"/>
        <w:gridCol w:w="4274"/>
      </w:tblGrid>
      <w:tr w:rsidR="00A56B20" w14:paraId="260E414B" w14:textId="77777777">
        <w:trPr>
          <w:trHeight w:val="3059"/>
        </w:trPr>
        <w:tc>
          <w:tcPr>
            <w:tcW w:w="4786" w:type="dxa"/>
          </w:tcPr>
          <w:p w14:paraId="02B22256" w14:textId="77777777" w:rsidR="00A56B20" w:rsidRDefault="003D2A5D">
            <w:r>
              <w:rPr>
                <w:b/>
                <w:bCs/>
              </w:rPr>
              <w:t>Оператор электронной площадки:</w:t>
            </w:r>
          </w:p>
          <w:p w14:paraId="06DBF5D1" w14:textId="77777777" w:rsidR="00A56B20" w:rsidRDefault="003D2A5D">
            <w:r>
              <w:rPr>
                <w:b/>
              </w:rPr>
              <w:t>Акционерное общество</w:t>
            </w:r>
          </w:p>
          <w:p w14:paraId="3F720BB9" w14:textId="77777777" w:rsidR="00A56B20" w:rsidRDefault="003D2A5D">
            <w:r>
              <w:rPr>
                <w:b/>
              </w:rPr>
              <w:t>«Российский аукционный дом»</w:t>
            </w:r>
          </w:p>
          <w:p w14:paraId="15389CE7" w14:textId="77777777" w:rsidR="00A56B20" w:rsidRDefault="00A56B20">
            <w:pPr>
              <w:rPr>
                <w:b/>
              </w:rPr>
            </w:pPr>
          </w:p>
          <w:p w14:paraId="37E81945" w14:textId="77777777" w:rsidR="00A56B20" w:rsidRDefault="003D2A5D">
            <w:r>
              <w:t>Адрес для корреспонденции:</w:t>
            </w:r>
          </w:p>
          <w:p w14:paraId="5E1E2D41" w14:textId="77777777" w:rsidR="00A56B20" w:rsidRDefault="003D2A5D">
            <w:r>
              <w:t>190000 Санкт-Петербург,</w:t>
            </w:r>
          </w:p>
          <w:p w14:paraId="46BAF180" w14:textId="77777777" w:rsidR="00A56B20" w:rsidRDefault="003D2A5D">
            <w:r>
              <w:t>пер. Гривцова, д.5, лит. В</w:t>
            </w:r>
          </w:p>
          <w:p w14:paraId="0CCFA201" w14:textId="77777777" w:rsidR="00A56B20" w:rsidRDefault="003D2A5D">
            <w:r>
              <w:t>тел. 8 (800) 777-57-57</w:t>
            </w:r>
          </w:p>
          <w:p w14:paraId="1486C66D" w14:textId="77777777" w:rsidR="00A56B20" w:rsidRDefault="00A56B20">
            <w:pPr>
              <w:jc w:val="center"/>
            </w:pPr>
          </w:p>
          <w:p w14:paraId="1176F0B5" w14:textId="77777777" w:rsidR="00A56B20" w:rsidRDefault="003D2A5D">
            <w:pPr>
              <w:tabs>
                <w:tab w:val="left" w:pos="1580"/>
              </w:tabs>
            </w:pPr>
            <w:bookmarkStart w:id="2" w:name="_Hlk12535521"/>
            <w:r>
              <w:t>ОГРН: 1097847233351, ИНН: 7838430413, КПП: 783801001</w:t>
            </w:r>
          </w:p>
          <w:p w14:paraId="1AFD1092" w14:textId="77777777" w:rsidR="00A56B20" w:rsidRDefault="003D2A5D">
            <w:pPr>
              <w:tabs>
                <w:tab w:val="left" w:pos="1580"/>
              </w:tabs>
            </w:pPr>
            <w:r>
              <w:t>р/с № 40702810355000036459</w:t>
            </w:r>
          </w:p>
          <w:p w14:paraId="79716915" w14:textId="77777777" w:rsidR="00A56B20" w:rsidRDefault="003D2A5D">
            <w:pPr>
              <w:tabs>
                <w:tab w:val="left" w:pos="1580"/>
              </w:tabs>
            </w:pPr>
            <w:r>
              <w:t>СЕВЕРО-ЗАПАДНЫЙ БАНК ПАО СБЕРБАНК</w:t>
            </w:r>
          </w:p>
          <w:p w14:paraId="0ED945BD" w14:textId="77777777" w:rsidR="00A56B20" w:rsidRDefault="003D2A5D">
            <w:pPr>
              <w:tabs>
                <w:tab w:val="left" w:pos="1580"/>
              </w:tabs>
            </w:pPr>
            <w:r>
              <w:t>БИК 044030653</w:t>
            </w:r>
          </w:p>
          <w:p w14:paraId="405527EC" w14:textId="77777777" w:rsidR="00A56B20" w:rsidRDefault="003D2A5D">
            <w:pPr>
              <w:tabs>
                <w:tab w:val="left" w:pos="1580"/>
              </w:tabs>
            </w:pPr>
            <w:r>
              <w:t>к/с 30101810500000000653</w:t>
            </w:r>
            <w:bookmarkEnd w:id="2"/>
          </w:p>
        </w:tc>
        <w:tc>
          <w:tcPr>
            <w:tcW w:w="764" w:type="dxa"/>
          </w:tcPr>
          <w:p w14:paraId="1DE94E6C" w14:textId="77777777" w:rsidR="00A56B20" w:rsidRDefault="00A56B20">
            <w:pPr>
              <w:ind w:firstLine="284"/>
              <w:jc w:val="both"/>
            </w:pPr>
          </w:p>
        </w:tc>
        <w:tc>
          <w:tcPr>
            <w:tcW w:w="4274" w:type="dxa"/>
          </w:tcPr>
          <w:p w14:paraId="1A7235DE" w14:textId="77777777" w:rsidR="00A56B20" w:rsidRDefault="003D2A5D">
            <w:pPr>
              <w:jc w:val="both"/>
            </w:pPr>
            <w:r>
              <w:tab/>
            </w:r>
            <w:r>
              <w:rPr>
                <w:b/>
                <w:bCs/>
              </w:rPr>
              <w:t>ПРЕТЕНДЕНТ:</w:t>
            </w:r>
          </w:p>
          <w:p w14:paraId="2A8934B4" w14:textId="77777777" w:rsidR="00A56B20" w:rsidRDefault="003D2A5D">
            <w:pPr>
              <w:jc w:val="both"/>
            </w:pPr>
            <w:r>
              <w:rPr>
                <w:b/>
                <w:bCs/>
              </w:rPr>
              <w:t>_________________________________</w:t>
            </w:r>
          </w:p>
          <w:p w14:paraId="6CB7B9ED" w14:textId="77777777" w:rsidR="00A56B20" w:rsidRDefault="003D2A5D">
            <w:pPr>
              <w:jc w:val="both"/>
            </w:pPr>
            <w:r>
              <w:t>_________________________________</w:t>
            </w:r>
          </w:p>
          <w:p w14:paraId="5F649F73" w14:textId="77777777" w:rsidR="00A56B20" w:rsidRDefault="003D2A5D">
            <w:pPr>
              <w:jc w:val="both"/>
            </w:pPr>
            <w:r>
              <w:t>_________________________________</w:t>
            </w:r>
          </w:p>
          <w:p w14:paraId="3245DD6A" w14:textId="77777777" w:rsidR="00A56B20" w:rsidRDefault="003D2A5D">
            <w:pPr>
              <w:jc w:val="both"/>
            </w:pPr>
            <w:r>
              <w:t>_________________________________</w:t>
            </w:r>
          </w:p>
          <w:p w14:paraId="3D4BEECB" w14:textId="77777777" w:rsidR="00A56B20" w:rsidRDefault="003D2A5D">
            <w:pPr>
              <w:jc w:val="both"/>
            </w:pPr>
            <w:r>
              <w:t>_________________________________</w:t>
            </w:r>
          </w:p>
          <w:p w14:paraId="2514BFEF" w14:textId="77777777" w:rsidR="00A56B20" w:rsidRDefault="003D2A5D">
            <w:pPr>
              <w:jc w:val="both"/>
            </w:pPr>
            <w:r>
              <w:t>_________________________________</w:t>
            </w:r>
          </w:p>
          <w:p w14:paraId="2813F3AA" w14:textId="77777777" w:rsidR="00A56B20" w:rsidRDefault="003D2A5D">
            <w:pPr>
              <w:jc w:val="both"/>
            </w:pPr>
            <w:r>
              <w:t>_________________________________</w:t>
            </w:r>
          </w:p>
          <w:p w14:paraId="2077914F" w14:textId="77777777" w:rsidR="00A56B20" w:rsidRDefault="00A56B20">
            <w:pPr>
              <w:jc w:val="both"/>
            </w:pPr>
          </w:p>
        </w:tc>
      </w:tr>
    </w:tbl>
    <w:p w14:paraId="0BEB9990" w14:textId="77777777" w:rsidR="00A56B20" w:rsidRDefault="003D2A5D">
      <w:pPr>
        <w:ind w:firstLine="284"/>
        <w:jc w:val="both"/>
      </w:pPr>
      <w:r>
        <w:rPr>
          <w:b/>
          <w:bCs/>
        </w:rPr>
        <w:t xml:space="preserve">        </w:t>
      </w:r>
    </w:p>
    <w:p w14:paraId="686EEF71" w14:textId="77777777" w:rsidR="00A56B20" w:rsidRDefault="003D2A5D">
      <w:pPr>
        <w:jc w:val="both"/>
      </w:pPr>
      <w:r>
        <w:rPr>
          <w:b/>
          <w:bCs/>
        </w:rPr>
        <w:t>От Оператора электронной площадки</w:t>
      </w:r>
      <w:r>
        <w:rPr>
          <w:b/>
          <w:bCs/>
        </w:rPr>
        <w:tab/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ОТ ПРЕТЕНДЕНТА</w:t>
      </w:r>
    </w:p>
    <w:p w14:paraId="02E4C2DB" w14:textId="77777777" w:rsidR="00A56B20" w:rsidRDefault="003D2A5D">
      <w:r>
        <w:t xml:space="preserve">_____________________/ Е.В. </w:t>
      </w:r>
      <w:proofErr w:type="spellStart"/>
      <w:r>
        <w:t>Канцерова</w:t>
      </w:r>
      <w:proofErr w:type="spellEnd"/>
      <w:r>
        <w:t>/</w:t>
      </w:r>
      <w:r>
        <w:tab/>
      </w:r>
      <w:r>
        <w:t xml:space="preserve">            _______________________/_________</w:t>
      </w:r>
    </w:p>
    <w:p w14:paraId="1D140841" w14:textId="77777777" w:rsidR="00A56B20" w:rsidRDefault="00A56B20"/>
    <w:p w14:paraId="248D5E0A" w14:textId="77777777" w:rsidR="00A56B20" w:rsidRDefault="00A56B20"/>
    <w:sectPr w:rsidR="00A56B20">
      <w:endnotePr>
        <w:numFmt w:val="decimal"/>
      </w:endnotePr>
      <w:pgSz w:w="11906" w:h="16838"/>
      <w:pgMar w:top="567" w:right="567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4E9921" w14:textId="77777777" w:rsidR="003D2A5D" w:rsidRDefault="003D2A5D">
      <w:r>
        <w:separator/>
      </w:r>
    </w:p>
  </w:endnote>
  <w:endnote w:type="continuationSeparator" w:id="0">
    <w:p w14:paraId="1BF122D5" w14:textId="77777777" w:rsidR="003D2A5D" w:rsidRDefault="003D2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TTimes/Cyrillic">
    <w:charset w:val="00"/>
    <w:family w:val="auto"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charset w:val="00"/>
    <w:family w:val="auto"/>
    <w:pitch w:val="default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E7D8FA" w14:textId="77777777" w:rsidR="003D2A5D" w:rsidRDefault="003D2A5D">
      <w:r>
        <w:separator/>
      </w:r>
    </w:p>
  </w:footnote>
  <w:footnote w:type="continuationSeparator" w:id="0">
    <w:p w14:paraId="3BCCF384" w14:textId="77777777" w:rsidR="003D2A5D" w:rsidRDefault="003D2A5D">
      <w:r>
        <w:continuationSeparator/>
      </w:r>
    </w:p>
  </w:footnote>
  <w:footnote w:id="1">
    <w:p w14:paraId="7FA52C7F" w14:textId="77777777" w:rsidR="00A56B20" w:rsidRDefault="003D2A5D">
      <w:pPr>
        <w:pStyle w:val="af6"/>
      </w:pPr>
      <w:r>
        <w:rPr>
          <w:rStyle w:val="affa"/>
          <w:rFonts w:ascii="Liberation Serif" w:hAnsi="Liberation Serif"/>
        </w:rPr>
        <w:footnoteRef/>
      </w:r>
      <w:r>
        <w:t xml:space="preserve"> Если иное не предусмотрено информационным сообщением о проведении торгов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8182B9DE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color w:val="000000"/>
      </w:r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1" w15:restartNumberingAfterBreak="0">
    <w:nsid w:val="00000002"/>
    <w:multiLevelType w:val="multilevel"/>
    <w:tmpl w:val="2BCC86AC"/>
    <w:lvl w:ilvl="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153987379">
    <w:abstractNumId w:val="0"/>
  </w:num>
  <w:num w:numId="2" w16cid:durableId="16894816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B20"/>
    <w:rsid w:val="001066AE"/>
    <w:rsid w:val="003D2A5D"/>
    <w:rsid w:val="00A56B20"/>
    <w:rsid w:val="00AF4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2DA9A"/>
  <w15:docId w15:val="{BB18FE35-1AD3-43EC-9F09-A51957855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styleId="a9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Pr>
      <w:i/>
      <w:iCs/>
      <w:color w:val="365F91" w:themeColor="accent1" w:themeShade="BF"/>
    </w:rPr>
  </w:style>
  <w:style w:type="character" w:styleId="ac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ad">
    <w:name w:val="No Spacing"/>
    <w:basedOn w:val="a"/>
    <w:uiPriority w:val="1"/>
    <w:qFormat/>
  </w:style>
  <w:style w:type="character" w:styleId="ae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f">
    <w:name w:val="Emphasis"/>
    <w:basedOn w:val="a0"/>
    <w:uiPriority w:val="20"/>
    <w:qFormat/>
    <w:rPr>
      <w:i/>
      <w:iCs/>
    </w:rPr>
  </w:style>
  <w:style w:type="character" w:styleId="af0">
    <w:name w:val="Strong"/>
    <w:qFormat/>
    <w:rPr>
      <w:b/>
      <w:bCs/>
    </w:rPr>
  </w:style>
  <w:style w:type="character" w:styleId="af1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2">
    <w:name w:val="Book Title"/>
    <w:basedOn w:val="a0"/>
    <w:uiPriority w:val="33"/>
    <w:qFormat/>
    <w:rPr>
      <w:b/>
      <w:bCs/>
      <w:i/>
      <w:iCs/>
      <w:spacing w:val="5"/>
    </w:rPr>
  </w:style>
  <w:style w:type="paragraph" w:styleId="af3">
    <w:name w:val="header"/>
    <w:basedOn w:val="a"/>
    <w:link w:val="12"/>
    <w:pPr>
      <w:tabs>
        <w:tab w:val="center" w:pos="4677"/>
        <w:tab w:val="right" w:pos="9355"/>
      </w:tabs>
    </w:pPr>
    <w:rPr>
      <w:rFonts w:ascii="NTTimes/Cyrillic" w:hAnsi="NTTimes/Cyrillic" w:cs="NTTimes/Cyrillic"/>
      <w:lang w:val="en-US"/>
    </w:rPr>
  </w:style>
  <w:style w:type="character" w:customStyle="1" w:styleId="12">
    <w:name w:val="Верхний колонтитул Знак1"/>
    <w:basedOn w:val="a0"/>
    <w:link w:val="af3"/>
    <w:uiPriority w:val="99"/>
  </w:style>
  <w:style w:type="paragraph" w:styleId="af4">
    <w:name w:val="footer"/>
    <w:basedOn w:val="a"/>
    <w:link w:val="13"/>
    <w:pPr>
      <w:tabs>
        <w:tab w:val="center" w:pos="4677"/>
        <w:tab w:val="right" w:pos="9355"/>
      </w:tabs>
    </w:pPr>
    <w:rPr>
      <w:rFonts w:ascii="NTTimes/Cyrillic" w:hAnsi="NTTimes/Cyrillic" w:cs="NTTimes/Cyrillic"/>
      <w:lang w:val="en-US"/>
    </w:rPr>
  </w:style>
  <w:style w:type="character" w:customStyle="1" w:styleId="13">
    <w:name w:val="Нижний колонтитул Знак1"/>
    <w:basedOn w:val="a0"/>
    <w:link w:val="af4"/>
    <w:uiPriority w:val="99"/>
  </w:style>
  <w:style w:type="paragraph" w:styleId="af5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f6">
    <w:name w:val="footnote text"/>
    <w:basedOn w:val="a"/>
    <w:link w:val="14"/>
    <w:rPr>
      <w:sz w:val="20"/>
      <w:szCs w:val="20"/>
    </w:rPr>
  </w:style>
  <w:style w:type="character" w:customStyle="1" w:styleId="14">
    <w:name w:val="Текст сноски Знак1"/>
    <w:basedOn w:val="a0"/>
    <w:link w:val="af6"/>
    <w:uiPriority w:val="99"/>
    <w:semiHidden/>
    <w:rPr>
      <w:sz w:val="20"/>
      <w:szCs w:val="20"/>
    </w:rPr>
  </w:style>
  <w:style w:type="character" w:styleId="af7">
    <w:name w:val="footnote reference"/>
    <w:rPr>
      <w:vertAlign w:val="superscript"/>
    </w:rPr>
  </w:style>
  <w:style w:type="paragraph" w:styleId="af8">
    <w:name w:val="endnote text"/>
    <w:basedOn w:val="a"/>
    <w:link w:val="af9"/>
    <w:uiPriority w:val="99"/>
    <w:semiHidden/>
    <w:unhideWhenUsed/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Pr>
      <w:sz w:val="20"/>
      <w:szCs w:val="20"/>
    </w:rPr>
  </w:style>
  <w:style w:type="character" w:styleId="afa">
    <w:name w:val="endnote reference"/>
    <w:rPr>
      <w:vertAlign w:val="superscript"/>
    </w:rPr>
  </w:style>
  <w:style w:type="character" w:styleId="afb">
    <w:name w:val="Hyperlink"/>
    <w:rPr>
      <w:color w:val="0000FF"/>
      <w:u w:val="single"/>
    </w:rPr>
  </w:style>
  <w:style w:type="character" w:styleId="afc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15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character" w:styleId="afd">
    <w:name w:val="Placeholder Text"/>
    <w:basedOn w:val="a0"/>
    <w:uiPriority w:val="99"/>
    <w:semiHidden/>
    <w:rPr>
      <w:color w:val="666666"/>
    </w:rPr>
  </w:style>
  <w:style w:type="paragraph" w:styleId="afe">
    <w:name w:val="TOC Heading"/>
    <w:uiPriority w:val="39"/>
    <w:unhideWhenUsed/>
  </w:style>
  <w:style w:type="paragraph" w:styleId="aff">
    <w:name w:val="table of figures"/>
    <w:basedOn w:val="a"/>
    <w:next w:val="a"/>
    <w:uiPriority w:val="99"/>
    <w:unhideWhenUsed/>
  </w:style>
  <w:style w:type="character" w:customStyle="1" w:styleId="WW8Num1z0">
    <w:name w:val="WW8Num1z0"/>
    <w:rPr>
      <w:color w:val="000000"/>
    </w:rPr>
  </w:style>
  <w:style w:type="character" w:customStyle="1" w:styleId="25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6"/>
      <w:position w:val="0"/>
      <w:sz w:val="24"/>
      <w:szCs w:val="24"/>
      <w:u w:val="none"/>
      <w:vertAlign w:val="baseline"/>
    </w:rPr>
  </w:style>
  <w:style w:type="character" w:customStyle="1" w:styleId="WW8Num3z0">
    <w:name w:val="WW8Num3z0"/>
    <w:rPr>
      <w:color w:val="000000"/>
    </w:rPr>
  </w:style>
  <w:style w:type="character" w:customStyle="1" w:styleId="WW8Num4z0">
    <w:name w:val="WW8Num4z0"/>
    <w:rPr>
      <w:b/>
      <w:bCs/>
      <w:i w:val="0"/>
      <w:iCs w:val="0"/>
    </w:rPr>
  </w:style>
  <w:style w:type="character" w:customStyle="1" w:styleId="WW8Num7z0">
    <w:name w:val="WW8Num7z0"/>
    <w:rPr>
      <w:color w:val="000000"/>
    </w:rPr>
  </w:style>
  <w:style w:type="character" w:customStyle="1" w:styleId="WW8Num8z0">
    <w:name w:val="WW8Num8z0"/>
    <w:rPr>
      <w:rFonts w:ascii="Times New Roman" w:hAnsi="Times New Roman" w:cs="Times New Roman"/>
      <w:b/>
      <w:bCs/>
      <w:i w:val="0"/>
      <w:iCs w:val="0"/>
      <w:sz w:val="24"/>
      <w:szCs w:val="24"/>
      <w:u w:val="none"/>
    </w:rPr>
  </w:style>
  <w:style w:type="character" w:customStyle="1" w:styleId="WW8Num9z0">
    <w:name w:val="WW8Num9z0"/>
    <w:rPr>
      <w:color w:val="000000"/>
    </w:rPr>
  </w:style>
  <w:style w:type="character" w:customStyle="1" w:styleId="WW8Num10z0">
    <w:name w:val="WW8Num10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vertAlign w:val="baseline"/>
    </w:rPr>
  </w:style>
  <w:style w:type="character" w:customStyle="1" w:styleId="WW8Num11z0">
    <w:name w:val="WW8Num11z0"/>
    <w:rPr>
      <w:rFonts w:ascii="Times New Roman" w:hAnsi="Times New Roman" w:cs="Times New Roman"/>
      <w:b/>
      <w:bCs/>
      <w:i w:val="0"/>
      <w:iCs w:val="0"/>
      <w:sz w:val="24"/>
      <w:szCs w:val="24"/>
      <w:u w:val="none"/>
    </w:rPr>
  </w:style>
  <w:style w:type="character" w:customStyle="1" w:styleId="16">
    <w:name w:val="Основной шрифт абзаца1"/>
  </w:style>
  <w:style w:type="character" w:customStyle="1" w:styleId="26">
    <w:name w:val="Основной текст 2 Знак"/>
    <w:rPr>
      <w:sz w:val="24"/>
      <w:szCs w:val="24"/>
      <w:lang w:val="ru-RU" w:bidi="ar-SA"/>
    </w:rPr>
  </w:style>
  <w:style w:type="character" w:customStyle="1" w:styleId="33">
    <w:name w:val="Основной текст с отступом 3 Знак"/>
    <w:rPr>
      <w:sz w:val="16"/>
      <w:szCs w:val="16"/>
      <w:lang w:val="ru-RU" w:bidi="ar-SA"/>
    </w:rPr>
  </w:style>
  <w:style w:type="character" w:customStyle="1" w:styleId="aff0">
    <w:name w:val="Название Знак"/>
    <w:rPr>
      <w:b/>
      <w:bCs/>
      <w:sz w:val="28"/>
      <w:szCs w:val="28"/>
      <w:lang w:val="ru-RU" w:bidi="ar-SA"/>
    </w:rPr>
  </w:style>
  <w:style w:type="character" w:customStyle="1" w:styleId="17">
    <w:name w:val="Знак примечания1"/>
    <w:rPr>
      <w:sz w:val="16"/>
      <w:szCs w:val="16"/>
    </w:rPr>
  </w:style>
  <w:style w:type="character" w:customStyle="1" w:styleId="aff1">
    <w:name w:val="Текст примечания Знак"/>
    <w:rPr>
      <w:color w:val="000000"/>
    </w:rPr>
  </w:style>
  <w:style w:type="character" w:customStyle="1" w:styleId="aff2">
    <w:name w:val="Тема примечания Знак"/>
    <w:rPr>
      <w:b/>
      <w:bCs/>
      <w:color w:val="000000"/>
    </w:rPr>
  </w:style>
  <w:style w:type="character" w:customStyle="1" w:styleId="aff3">
    <w:name w:val="Текст выноски Знак"/>
    <w:rPr>
      <w:rFonts w:ascii="Segoe UI" w:hAnsi="Segoe UI" w:cs="Segoe UI"/>
      <w:color w:val="000000"/>
      <w:sz w:val="18"/>
      <w:szCs w:val="18"/>
    </w:rPr>
  </w:style>
  <w:style w:type="character" w:customStyle="1" w:styleId="34">
    <w:name w:val="Основной текст 3 Знак"/>
    <w:rPr>
      <w:color w:val="000000"/>
      <w:sz w:val="16"/>
      <w:szCs w:val="16"/>
    </w:rPr>
  </w:style>
  <w:style w:type="character" w:customStyle="1" w:styleId="aff4">
    <w:name w:val="Основной текст с отступом Знак"/>
    <w:rPr>
      <w:sz w:val="24"/>
      <w:szCs w:val="24"/>
    </w:rPr>
  </w:style>
  <w:style w:type="character" w:customStyle="1" w:styleId="aff5">
    <w:name w:val="Основной текст_"/>
    <w:rPr>
      <w:shd w:val="clear" w:color="auto" w:fill="FFFFFF"/>
    </w:rPr>
  </w:style>
  <w:style w:type="character" w:customStyle="1" w:styleId="aff6">
    <w:name w:val="Основной текст + Полужирный"/>
    <w:rPr>
      <w:rFonts w:ascii="Times New Roman" w:hAnsi="Times New Roman" w:cs="Times New Roman"/>
      <w:b/>
      <w:bCs/>
      <w:color w:val="000000"/>
      <w:spacing w:val="0"/>
      <w:position w:val="0"/>
      <w:sz w:val="24"/>
      <w:shd w:val="clear" w:color="auto" w:fill="FFFFFF"/>
      <w:vertAlign w:val="baseline"/>
      <w:lang w:val="ru-RU"/>
    </w:rPr>
  </w:style>
  <w:style w:type="character" w:customStyle="1" w:styleId="27">
    <w:name w:val="Основной текст (2) + Не полужирный"/>
    <w:rPr>
      <w:rFonts w:ascii="Times New Roman" w:hAnsi="Times New Roman" w:cs="Times New Roman"/>
      <w:b/>
      <w:bCs/>
      <w:color w:val="000000"/>
      <w:spacing w:val="0"/>
      <w:position w:val="0"/>
      <w:sz w:val="24"/>
      <w:shd w:val="clear" w:color="auto" w:fill="FFFFFF"/>
      <w:vertAlign w:val="baseline"/>
      <w:lang w:val="ru-RU"/>
    </w:rPr>
  </w:style>
  <w:style w:type="character" w:customStyle="1" w:styleId="aff7">
    <w:name w:val="Верхний колонтитул Знак"/>
    <w:rPr>
      <w:rFonts w:ascii="NTTimes/Cyrillic" w:hAnsi="NTTimes/Cyrillic" w:cs="NTTimes/Cyrillic"/>
      <w:sz w:val="24"/>
      <w:szCs w:val="24"/>
      <w:lang w:val="en-US"/>
    </w:rPr>
  </w:style>
  <w:style w:type="character" w:customStyle="1" w:styleId="aff8">
    <w:name w:val="Нижний колонтитул Знак"/>
    <w:rPr>
      <w:rFonts w:ascii="NTTimes/Cyrillic" w:hAnsi="NTTimes/Cyrillic" w:cs="NTTimes/Cyrillic"/>
      <w:sz w:val="24"/>
      <w:szCs w:val="24"/>
      <w:lang w:val="en-US"/>
    </w:rPr>
  </w:style>
  <w:style w:type="character" w:customStyle="1" w:styleId="aff9">
    <w:name w:val="Текст сноски Знак"/>
    <w:rPr>
      <w:color w:val="000000"/>
    </w:rPr>
  </w:style>
  <w:style w:type="character" w:customStyle="1" w:styleId="affa">
    <w:name w:val="Символ сноски"/>
    <w:rPr>
      <w:vertAlign w:val="superscript"/>
    </w:rPr>
  </w:style>
  <w:style w:type="character" w:customStyle="1" w:styleId="18">
    <w:name w:val="Знак сноски1"/>
    <w:rPr>
      <w:vertAlign w:val="superscript"/>
    </w:rPr>
  </w:style>
  <w:style w:type="character" w:styleId="affb">
    <w:name w:val="line number"/>
  </w:style>
  <w:style w:type="character" w:customStyle="1" w:styleId="affc">
    <w:name w:val="Символ концевой сноски"/>
    <w:rPr>
      <w:vertAlign w:val="superscript"/>
    </w:rPr>
  </w:style>
  <w:style w:type="character" w:customStyle="1" w:styleId="WW-">
    <w:name w:val="WW-Символ концевой сноски"/>
  </w:style>
  <w:style w:type="character" w:customStyle="1" w:styleId="19">
    <w:name w:val="Знак концевой сноски1"/>
    <w:rPr>
      <w:vertAlign w:val="superscript"/>
    </w:rPr>
  </w:style>
  <w:style w:type="character" w:customStyle="1" w:styleId="fontstyle01">
    <w:name w:val="fontstyle01"/>
    <w:rPr>
      <w:rFonts w:ascii="TimesNewRomanPSMT" w:hAnsi="TimesNewRomanPSMT" w:cs="TimesNewRomanPSMT"/>
      <w:b w:val="0"/>
      <w:bCs w:val="0"/>
      <w:i w:val="0"/>
      <w:iCs w:val="0"/>
      <w:color w:val="000000"/>
      <w:sz w:val="20"/>
      <w:szCs w:val="20"/>
    </w:rPr>
  </w:style>
  <w:style w:type="paragraph" w:customStyle="1" w:styleId="28">
    <w:name w:val="Заголовок2"/>
    <w:basedOn w:val="a"/>
    <w:next w:val="affd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fd">
    <w:name w:val="Body Text"/>
    <w:basedOn w:val="a"/>
    <w:pPr>
      <w:spacing w:after="140" w:line="276" w:lineRule="auto"/>
    </w:pPr>
  </w:style>
  <w:style w:type="paragraph" w:styleId="affe">
    <w:name w:val="List"/>
    <w:basedOn w:val="affd"/>
    <w:rPr>
      <w:rFonts w:cs="Lucida Sans"/>
    </w:rPr>
  </w:style>
  <w:style w:type="paragraph" w:customStyle="1" w:styleId="29">
    <w:name w:val="Указатель2"/>
    <w:basedOn w:val="a"/>
    <w:pPr>
      <w:suppressLineNumbers/>
    </w:pPr>
    <w:rPr>
      <w:rFonts w:cs="Lucida Sans"/>
      <w:lang w:val="en-US" w:eastAsia="en-US" w:bidi="en-US"/>
    </w:rPr>
  </w:style>
  <w:style w:type="paragraph" w:customStyle="1" w:styleId="1a">
    <w:name w:val="Заголовок1"/>
    <w:basedOn w:val="a"/>
    <w:next w:val="affd"/>
    <w:pPr>
      <w:jc w:val="center"/>
    </w:pPr>
    <w:rPr>
      <w:b/>
      <w:bCs/>
      <w:sz w:val="28"/>
      <w:szCs w:val="28"/>
    </w:rPr>
  </w:style>
  <w:style w:type="paragraph" w:customStyle="1" w:styleId="1b">
    <w:name w:val="Название объекта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1c">
    <w:name w:val="Указатель1"/>
    <w:basedOn w:val="a"/>
    <w:pPr>
      <w:suppressLineNumbers/>
    </w:pPr>
    <w:rPr>
      <w:rFonts w:cs="Lucida Sans"/>
      <w:lang w:val="en-US" w:bidi="en-US"/>
    </w:rPr>
  </w:style>
  <w:style w:type="paragraph" w:customStyle="1" w:styleId="210">
    <w:name w:val="Основной текст 21"/>
    <w:basedOn w:val="a"/>
    <w:pPr>
      <w:spacing w:after="120" w:line="480" w:lineRule="auto"/>
    </w:pPr>
  </w:style>
  <w:style w:type="paragraph" w:customStyle="1" w:styleId="310">
    <w:name w:val="Основной текст с отступом 31"/>
    <w:basedOn w:val="a"/>
    <w:pPr>
      <w:spacing w:after="120"/>
      <w:ind w:left="283"/>
    </w:pPr>
    <w:rPr>
      <w:sz w:val="16"/>
      <w:szCs w:val="16"/>
    </w:rPr>
  </w:style>
  <w:style w:type="paragraph" w:styleId="2a">
    <w:name w:val="Body Text 2"/>
    <w:basedOn w:val="a"/>
    <w:pPr>
      <w:ind w:firstLine="567"/>
      <w:jc w:val="both"/>
    </w:pPr>
    <w:rPr>
      <w:sz w:val="22"/>
      <w:szCs w:val="20"/>
    </w:rPr>
  </w:style>
  <w:style w:type="paragraph" w:customStyle="1" w:styleId="1d">
    <w:name w:val="Текст примечания1"/>
    <w:basedOn w:val="a"/>
    <w:rPr>
      <w:sz w:val="20"/>
      <w:szCs w:val="20"/>
    </w:rPr>
  </w:style>
  <w:style w:type="paragraph" w:styleId="afff">
    <w:name w:val="annotation subject"/>
    <w:basedOn w:val="1d"/>
    <w:next w:val="1d"/>
    <w:rPr>
      <w:b/>
      <w:bCs/>
    </w:rPr>
  </w:style>
  <w:style w:type="paragraph" w:styleId="afff0">
    <w:name w:val="Balloon Text"/>
    <w:basedOn w:val="a"/>
    <w:rPr>
      <w:rFonts w:ascii="Segoe UI" w:hAnsi="Segoe UI" w:cs="Segoe UI"/>
      <w:sz w:val="18"/>
      <w:szCs w:val="18"/>
    </w:rPr>
  </w:style>
  <w:style w:type="paragraph" w:customStyle="1" w:styleId="311">
    <w:name w:val="Основной текст 31"/>
    <w:basedOn w:val="a"/>
    <w:pPr>
      <w:spacing w:after="120"/>
    </w:pPr>
    <w:rPr>
      <w:sz w:val="16"/>
      <w:szCs w:val="16"/>
    </w:rPr>
  </w:style>
  <w:style w:type="paragraph" w:styleId="afff1">
    <w:name w:val="Body Text Indent"/>
    <w:basedOn w:val="a"/>
    <w:pPr>
      <w:ind w:right="-57" w:firstLine="720"/>
      <w:jc w:val="both"/>
    </w:pPr>
  </w:style>
  <w:style w:type="paragraph" w:customStyle="1" w:styleId="2b">
    <w:name w:val="Основной текст2"/>
    <w:basedOn w:val="a"/>
    <w:pPr>
      <w:widowControl w:val="0"/>
      <w:shd w:val="clear" w:color="auto" w:fill="FFFFFF"/>
      <w:spacing w:before="300" w:line="274" w:lineRule="exact"/>
      <w:ind w:hanging="1140"/>
      <w:jc w:val="both"/>
    </w:pPr>
    <w:rPr>
      <w:sz w:val="20"/>
      <w:szCs w:val="20"/>
    </w:rPr>
  </w:style>
  <w:style w:type="paragraph" w:styleId="afff2">
    <w:name w:val="Revision"/>
    <w:rPr>
      <w:rFonts w:ascii="NTTimes/Cyrillic" w:hAnsi="NTTimes/Cyrillic" w:cs="NTTimes/Cyrillic"/>
      <w:sz w:val="24"/>
      <w:szCs w:val="24"/>
      <w:lang w:val="en-US"/>
    </w:rPr>
  </w:style>
  <w:style w:type="paragraph" w:customStyle="1" w:styleId="afff3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ff4">
    <w:name w:val="Содержимое таблицы"/>
    <w:basedOn w:val="a"/>
    <w:pPr>
      <w:widowControl w:val="0"/>
      <w:suppressLineNumbers/>
    </w:pPr>
  </w:style>
  <w:style w:type="paragraph" w:customStyle="1" w:styleId="afff5">
    <w:name w:val="Заголовок таблицы"/>
    <w:basedOn w:val="afff4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1453</Words>
  <Characters>8287</Characters>
  <Application>Microsoft Office Word</Application>
  <DocSecurity>0</DocSecurity>
  <Lines>69</Lines>
  <Paragraphs>19</Paragraphs>
  <ScaleCrop>false</ScaleCrop>
  <Company/>
  <LinksUpToDate>false</LinksUpToDate>
  <CharactersWithSpaces>9721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creator>upr12</dc:creator>
  <cp:lastModifiedBy>Гоникберг Полина Эрнестовна</cp:lastModifiedBy>
  <cp:revision>3</cp:revision>
  <dcterms:created xsi:type="dcterms:W3CDTF">2026-05-20T07:42:00Z</dcterms:created>
  <dcterms:modified xsi:type="dcterms:W3CDTF">2026-06-15T15:34:00Z</dcterms:modified>
  <cp:version>1048576</cp:version>
</cp:coreProperties>
</file>