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Коваленко Артём Сергеевич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седан VOLKSWAGEN PASSAT.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Герасимов Иван Романович (дата рождения: 31.01.2000 г., место рождения: п. Радужный Нововятский р-н г. Киров, СНИЛС 170-773-113 61, ИНН 434594441853, регистрация по месту жительства: 610010, Кировская обл., г. Киров, мкр. Радужный, ул. Конституции, д. 5, кв. 57)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седан VOLKSWAGEN PASSAT.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Коваленко Артём Сергеевич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