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C56D" w14:textId="77777777"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</w:p>
    <w:p w14:paraId="245CBF04" w14:textId="77777777"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 ИМУЩЕСТВА № ________</w:t>
      </w:r>
    </w:p>
    <w:p w14:paraId="1518BCD2" w14:textId="77777777"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1078E3" w14:textId="431B3F30" w:rsidR="00B74545" w:rsidRPr="00B74545" w:rsidRDefault="00B74545" w:rsidP="00B745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г. </w:t>
      </w:r>
      <w:r w:rsidR="006B5E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Екатеринбург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«___» ___________ 2026 г.</w:t>
      </w:r>
    </w:p>
    <w:p w14:paraId="1FFA89F0" w14:textId="77777777" w:rsidR="00B74545" w:rsidRPr="00B74545" w:rsidRDefault="00B74545" w:rsidP="00B74545">
      <w:pPr>
        <w:tabs>
          <w:tab w:val="left" w:pos="360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98A7E32" w14:textId="31BC270F" w:rsidR="00B74545" w:rsidRPr="00B74545" w:rsidRDefault="009400D1" w:rsidP="00B74545">
      <w:pPr>
        <w:tabs>
          <w:tab w:val="left" w:pos="360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0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Индивидуальный предприниматель Седов Виктор Владимирович </w:t>
      </w:r>
      <w:r w:rsidRPr="009400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(ИНН 667330194288, паспорт серия ___ номер _______, выдан __.__.____ ___________________________________, адрес регистрации: _____________________________________________),</w:t>
      </w:r>
      <w:r w:rsidRPr="009400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="00B74545"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B74545"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Продавец</w:t>
      </w:r>
      <w:r w:rsidR="00B74545"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, с одной стороны, и </w:t>
      </w:r>
    </w:p>
    <w:p w14:paraId="01184558" w14:textId="77777777"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______________________, действующего на основании ____________</w:t>
      </w:r>
      <w:r w:rsidRPr="00B745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</w:p>
    <w:p w14:paraId="1B28FA24" w14:textId="77777777"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совместно именуемые «Стороны», а по отдельности – «Сторона», заключили настоящий договор купли-продажи имущества (далее – «Договор») о нижеследующем:</w:t>
      </w:r>
    </w:p>
    <w:p w14:paraId="0E110143" w14:textId="77777777"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A1F93" w14:textId="77777777" w:rsidR="00B74545" w:rsidRPr="00B74545" w:rsidRDefault="00B74545" w:rsidP="00B74545">
      <w:pPr>
        <w:numPr>
          <w:ilvl w:val="1"/>
          <w:numId w:val="3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Предмет Договора и гарантии Сторон</w:t>
      </w:r>
    </w:p>
    <w:p w14:paraId="2B4A1D63" w14:textId="4836F3DF" w:rsidR="00B74545" w:rsidRDefault="00B74545" w:rsidP="00131A40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условиями Договора Продавец обязуется передать в собственность покупателя, а Покупатель обязуется принять и оплатить следующее имущество:</w:t>
      </w:r>
    </w:p>
    <w:p w14:paraId="7F3684CE" w14:textId="75BE61BB" w:rsidR="00131A40" w:rsidRDefault="00131A40" w:rsidP="00131A4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Нежилое помещение, расположенное по адресу: Ханты-Мансийский автономный округ – Югра, г. Нижневартовск, ул. Нефтяников, д. 84, помещение № 1014 (кадастровый номер 86:11:0000000:68688);</w:t>
      </w:r>
    </w:p>
    <w:p w14:paraId="23B83B58" w14:textId="7E88906C" w:rsidR="00131A40" w:rsidRDefault="00131A40" w:rsidP="00131A4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Нежилое помещение, расположенное по адресу: Ханты-Мансийский автономный округ – Югра, г. Нижневартовск, ул. Нефтяников, д. 84, помещение № 1008 (кадастровый номер 86:11:0000000:68533);</w:t>
      </w:r>
    </w:p>
    <w:p w14:paraId="58196DFA" w14:textId="19A703D6" w:rsidR="00131A40" w:rsidRPr="00B74545" w:rsidRDefault="00131A40" w:rsidP="00131A4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право аренды земельного участка, расположенного по адресу: </w:t>
      </w:r>
      <w:r w:rsidRPr="00131A40"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Ханты-Мансийский автономный округ – Югра, г. Нижневартовск, ул. Нефтяников, д. 84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(кадастровый номер 86:11:0101018:218)</w:t>
      </w:r>
    </w:p>
    <w:p w14:paraId="5FE3B4C7" w14:textId="4332EB18" w:rsidR="00B74545" w:rsidRPr="00B74545" w:rsidRDefault="00B74545" w:rsidP="00B74545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Объекты недвижимости, Права аренды далее по тексту Договора вместе именуются «Объекты имущества».</w:t>
      </w:r>
    </w:p>
    <w:p w14:paraId="3D9B22B7" w14:textId="101C6935" w:rsidR="00B74545" w:rsidRPr="00B74545" w:rsidRDefault="00B74545" w:rsidP="00B7454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имущества передаются Продавцом Покупателю в их состоянии на дату Договора. Покупатель подтверждает, что о ф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актическом состоянии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, их конструктивных элементов на момент заключения Договора ему известно, оно им одобрено, каких-либо дефектов и недостатков не обнаружено; выбор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осуществлен Покупателем самостоятельно. Покупатель осведомлен относительно качественных характеристик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. Покупатель подтверждает, что он ознакомлен с информацией в отношении Объектов имущества, содержащейся в публичных источниках и государственных реестрах</w:t>
      </w:r>
      <w:r w:rsidR="009400D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.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Покупатель настоящим удостоверяет соответствие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требованиям Покупателя к качеству и целям приобретения Покупателем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в рамках Договора.</w:t>
      </w:r>
    </w:p>
    <w:p w14:paraId="038F99F4" w14:textId="4F6B0C91" w:rsidR="00B74545" w:rsidRPr="00B74545" w:rsidRDefault="00B74545" w:rsidP="00B7454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Покупатель ознакомлен с документами, подтверждающими право собственности Продавца на Объекты недвижимости</w:t>
      </w:r>
      <w:r w:rsidR="009400D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.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Покупатель претензий к указанным документам не имеет.</w:t>
      </w:r>
    </w:p>
    <w:p w14:paraId="3711E674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Переход прав на Объекты имущества к Покупателю:</w:t>
      </w:r>
    </w:p>
    <w:p w14:paraId="44C2CE8D" w14:textId="77777777"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 к Покупателю права собственности в отношении Объектов недвижимости – с даты внесения в ЕГРН соответствующей записи о государственной регистрации права собственности Покупателя на Объекты недвижимости;</w:t>
      </w:r>
    </w:p>
    <w:p w14:paraId="62D761DF" w14:textId="77777777"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 Прав аренды к Покупателю - с даты государственной регистрации в ЕГРН уступки Прав аренды по Договору.</w:t>
      </w:r>
    </w:p>
    <w:p w14:paraId="7BD28E9F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собственности Покупателя на Объекты недвижимости, а также переход к Покупателю Прав аренды подлежат государственной регистрации органом, осуществляющим государственную регистрацию прав на недвижимое имущество и сделок с ним (далее – «Регистрирующий орган»). Стороны пришли к соглашению, что государственная регистрация перехода Прав аренды к Покупателю осуществляется Покупателем в установленном законом порядке.</w:t>
      </w:r>
    </w:p>
    <w:p w14:paraId="57B65CDA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Стороны определили, что:</w:t>
      </w:r>
    </w:p>
    <w:p w14:paraId="0A14F10A" w14:textId="77777777" w:rsidR="00B74545" w:rsidRPr="00B74545" w:rsidRDefault="00B74545" w:rsidP="00B745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Государственная регистрация перехода права собственности на Объекты недвижимости к Покупателю по Договору,</w:t>
      </w:r>
    </w:p>
    <w:p w14:paraId="606FB7F1" w14:textId="77777777" w:rsidR="00B74545" w:rsidRPr="00B74545" w:rsidRDefault="00B74545" w:rsidP="00B745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регистрация перехода Прав аренды к Покупателю по Договору,</w:t>
      </w:r>
    </w:p>
    <w:p w14:paraId="7B4FF8C6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осуществляются после оплаты Покупателем в полном объеме цены Объектов имущества, указанной в п. 2.1 Договора.</w:t>
      </w:r>
    </w:p>
    <w:p w14:paraId="4607B60C" w14:textId="22E6916E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момента передачи Объектов имущества Покупателю (п. 4.1 Договора) последний обязан нести расходы по содержанию Объектов недвижимости, а также расходы, связанные с пользованием Правами аренды</w:t>
      </w:r>
      <w:r w:rsidR="009400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0DFB66A" w14:textId="0F2E7EA4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Продавец гарантирует, что до настоящего времени Имущество никому не продано, не подарено</w:t>
      </w:r>
      <w:r w:rsidR="009400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 не имеет иных обременений помимо тех, что указаны в настоящем договоре.</w:t>
      </w:r>
    </w:p>
    <w:p w14:paraId="1165C200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14:paraId="07D0240A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14:paraId="57034349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гарантируют, что каждая из них совершит все необходимые действия, подпишет и оформит все документы, необходимые для исполнения Договора.</w:t>
      </w:r>
    </w:p>
    <w:p w14:paraId="33393571" w14:textId="77777777"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Стороны гарантируют наличие необходимых согласований и одобрений, предусмотренных законодательством Российской Федерации, учредительными документами Сторон или договорными обязательствами Сторон, на заключение и исполнение Договора.</w:t>
      </w:r>
    </w:p>
    <w:p w14:paraId="34C3F56F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CAB84CE" w14:textId="77777777" w:rsidR="00B74545" w:rsidRPr="00B74545" w:rsidRDefault="00B74545" w:rsidP="00B74545">
      <w:pPr>
        <w:numPr>
          <w:ilvl w:val="0"/>
          <w:numId w:val="6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Цена и порядок расчетов по Договору</w:t>
      </w:r>
    </w:p>
    <w:p w14:paraId="3B12B8BD" w14:textId="7D026B4B"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Цена Объектов имущества составляет _____________________ (__________________) рублей ___ копейки</w:t>
      </w:r>
      <w:r w:rsidR="009400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84605B2" w14:textId="5A08F531"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цены Объектов имущества осуществляется Покупателем в рублях на расчетный счет Продавца в срок не более </w:t>
      </w:r>
      <w:r w:rsidR="009400D1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9400D1">
        <w:rPr>
          <w:rFonts w:ascii="Times New Roman" w:eastAsia="Calibri" w:hAnsi="Times New Roman" w:cs="Times New Roman"/>
          <w:sz w:val="24"/>
          <w:szCs w:val="24"/>
          <w:lang w:eastAsia="ru-RU"/>
        </w:rPr>
        <w:t>тридцати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) календарных дней с даты заключения Договора. При этом в счет оплаты Покупателем цены Объектов имущества зачитывается сумма задатка, уплаченного Покупателем в соответствии с ________________, указанный зачет происходит в дату полной оплаты цены Объектов имущества.</w:t>
      </w:r>
    </w:p>
    <w:p w14:paraId="1155721B" w14:textId="0BAFF7FA"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Покупатель несет расходы по государственной регистрации перехода права собственности на Объекты недвижимости к Покупателю</w:t>
      </w:r>
      <w:r w:rsidR="009400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60733A1" w14:textId="77777777"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Обязательство Покупателя по осуществлению платежей, предусмотренных условиями Договора, считается исполненным с момента поступления денежных средств в полном объеме на расчетный счет Продавца.</w:t>
      </w:r>
    </w:p>
    <w:p w14:paraId="2D545559" w14:textId="77777777"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 внесении платежей в соответствии с п. 2.2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14:paraId="175AF11B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6E04E03" w14:textId="77777777" w:rsidR="00B74545" w:rsidRPr="00B74545" w:rsidRDefault="00B74545" w:rsidP="00B7454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14:paraId="361D7B38" w14:textId="77777777" w:rsidR="00B74545" w:rsidRPr="00B74545" w:rsidRDefault="00B74545" w:rsidP="00B7454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обязан:</w:t>
      </w:r>
    </w:p>
    <w:p w14:paraId="240CDAAD" w14:textId="67D151FD" w:rsidR="00B74545" w:rsidRPr="00B74545" w:rsidRDefault="00B74545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Оплатить цену Объектов имущества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Объекты недвижимости</w:t>
      </w:r>
      <w:r w:rsidR="009400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A374EC9" w14:textId="06498705" w:rsidR="00B74545" w:rsidRDefault="00B74545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Не позднее 5 (Пяти) рабочих дней </w:t>
      </w:r>
      <w:bookmarkStart w:id="0" w:name="_Hlk228169383"/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 даты полной оплаты цены Объектов имущества</w:t>
      </w:r>
      <w:bookmarkEnd w:id="0"/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обратиться в Регистрирующий орган с целью государственной регистрации перехода права собственности на Объекты недвижимости, государственной регистрации перехода Прав аренды от Продавца к Покупателю, а также совершить все иные необходимые действия для государственной регистрации перехода права собственности на Объекты недвижимости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DCD912C" w14:textId="50BA92F9" w:rsidR="009400D1" w:rsidRPr="00B74545" w:rsidRDefault="009400D1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" w:name="_Hlk230280007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 позднее </w:t>
      </w:r>
      <w:r w:rsidR="000B5F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пяти</w:t>
      </w:r>
      <w:r w:rsidR="000B5F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рабочих дней с даты государственной регистрации права собственности на Объект недвижимости принять указанное имущество</w:t>
      </w:r>
      <w:r w:rsidR="000B5F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bookmarkEnd w:id="1"/>
    <w:p w14:paraId="02800EEE" w14:textId="77777777" w:rsidR="00B74545" w:rsidRPr="00B74545" w:rsidRDefault="00B74545" w:rsidP="00B7454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Продавец обязан: </w:t>
      </w:r>
    </w:p>
    <w:p w14:paraId="05C97FA1" w14:textId="35B799C0" w:rsidR="00B74545" w:rsidRPr="00B74545" w:rsidRDefault="000B5FE6" w:rsidP="00B74545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 позднее 5 (пяти) рабочих дней с даты государственной регистрации права собственности на Объекты недвижимости передать указанное имущество.</w:t>
      </w:r>
    </w:p>
    <w:p w14:paraId="1E31FBB0" w14:textId="77777777" w:rsidR="00B74545" w:rsidRPr="00B74545" w:rsidRDefault="00B74545" w:rsidP="00B74545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Не позднее 5 (Пяти) рабочих дней с полной оплаты цены Объектов имущества, обратиться в Регистрирующий орган с целью государственной регистрации перехода права собственности Покупателя на Объекты недвижимости, а также совершить все иные необходимые действия для государственной регистрации перехода права собственности на Объекты недвижимости от Продавца к Покупателю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E91623F" w14:textId="77777777" w:rsidR="00B74545" w:rsidRPr="00B74545" w:rsidRDefault="00B74545" w:rsidP="00B7454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A72FB3E" w14:textId="77777777" w:rsidR="00B74545" w:rsidRPr="00B74545" w:rsidRDefault="00B74545" w:rsidP="00B7454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Передача Объектов имущества</w:t>
      </w:r>
    </w:p>
    <w:p w14:paraId="375630FE" w14:textId="723E214A" w:rsidR="00B74545" w:rsidRPr="001822E7" w:rsidRDefault="001822E7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="00B74545" w:rsidRPr="001822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бъекты недвижимости считаются переданными Покупателю в дату государственной регистрации права собственности Покупателя на все Объекты недвижимости. Указанная передача происходит на основании Договора, и подписание отдельного документа о передаче Объектов недвижимости от Продавца к Покупателю не требуется.</w:t>
      </w:r>
    </w:p>
    <w:p w14:paraId="00A25D1D" w14:textId="506165AE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аренды переходят к Покупателю в дату государственной регистрации перехода к Покупателю Прав аренды и государственно регистрации перехода</w:t>
      </w:r>
      <w:r w:rsidR="001822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FDAD708" w14:textId="374ADDA4" w:rsidR="00B74545" w:rsidRPr="00B74545" w:rsidRDefault="00B74545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Риски случайной гибели или случайного повреждения Объектов недвижимости к Покупателю с момента передачи Покупателю Объектов недвижимости согласно п. 4.1 Договора (соответственно)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9784246" w14:textId="535A3F5C" w:rsidR="00B74545" w:rsidRPr="00B74545" w:rsidRDefault="001822E7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Продавец П</w:t>
      </w:r>
      <w:r w:rsidR="00B74545"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ередает Покупателю имеющиеся у Продавца оригиналы документов, относящихся к Объектам недвижимости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59339E4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5 (Пяти) рабочих дней с даты государственной регистрации перехода к Покупателю Прав аренды Продавец передает Покупателю имеющиеся у Продавца оригиналы документов, относящихся к Правам аренды.</w:t>
      </w:r>
    </w:p>
    <w:p w14:paraId="5F293F29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68FAAF" w14:textId="77777777" w:rsidR="00B74545" w:rsidRPr="00B74545" w:rsidRDefault="00B74545" w:rsidP="00B7454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14:paraId="7265EFE7" w14:textId="77777777"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" w:name="_Hlk155950127"/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просрочки оплаты цены Объектов имущества по Договору Продавец вправе направить Покупателю требование об уплате неустойки (пени) в размере 0,1 (Ноль целых одна десятая) % от суммы задолженности за каждый день просрочки платежа.</w:t>
      </w:r>
    </w:p>
    <w:bookmarkEnd w:id="2"/>
    <w:p w14:paraId="4BB15313" w14:textId="77777777"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просрочке оплаты по Договору более чем на 10 (Десять)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14:paraId="6CCCD7F1" w14:textId="6B3A0F5E"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Объекты, или составить и подписать в одностороннем порядке акт приема-передачи имущества и направить его Покупателю, имущество в таком случае будет считаться переданным Продавцом Покупателю в дату составления Продавцом такого акта приема-передачи.</w:t>
      </w:r>
    </w:p>
    <w:p w14:paraId="098522CE" w14:textId="77777777"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прекращения действия Договора по основаниям, предусмотренным п. 5.2 Договора сумма задатка, уплаченного Покупателем в соответствии с ________________ Покупателю не возвращается и остается в собственности Продавца.</w:t>
      </w:r>
    </w:p>
    <w:p w14:paraId="5394DBD4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C22730" w14:textId="77777777" w:rsidR="00B74545" w:rsidRPr="00B74545" w:rsidRDefault="00B74545" w:rsidP="00B7454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14:paraId="036627BF" w14:textId="77777777"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вступает в силу (считается заключенным) в установленном законом порядке и действует до момента исполнения Сторонами обязательств в полном объеме.</w:t>
      </w:r>
    </w:p>
    <w:p w14:paraId="010F6C8F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C456D5" w14:textId="77777777" w:rsidR="00B74545" w:rsidRPr="00B74545" w:rsidRDefault="00B74545" w:rsidP="00B74545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Действие обстоятельств непреодолимой силы</w:t>
      </w:r>
    </w:p>
    <w:p w14:paraId="5243FBA7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после даты заключения Договора не по воле Сторон, включая действия государственных органов.</w:t>
      </w:r>
    </w:p>
    <w:p w14:paraId="151A058B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Стороны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14:paraId="2253711A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14:paraId="7626B07C" w14:textId="77777777" w:rsidR="00B74545" w:rsidRPr="00B74545" w:rsidRDefault="00B74545" w:rsidP="00B7454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4D6E2C" w14:textId="77777777" w:rsidR="00B74545" w:rsidRPr="00B74545" w:rsidRDefault="00B74545" w:rsidP="00B74545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468861D4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791DE5AB" w14:textId="77777777"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00C14B" w14:textId="77777777"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8.1.2.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40A93" w14:textId="77777777"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8.1.3.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31168950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пункта 9.1 Договора распространяются на отношения, возникшие до его заключения, но связанные с заключением Договора.</w:t>
      </w:r>
    </w:p>
    <w:p w14:paraId="489E88B8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появления у Продавца сведений о фактическом или возможном нарушении Покупателем, его работниками, </w:t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уполномоченными представителями или иными привлеченными ими лицами 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положений пунктов 9.1.1-9.1.3 Договора (далее – «Нарушение коррупционной направленности»), Продавец обязуется незамедлительно письменно уведомить Покупателя об этом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EFDFB3" w14:textId="77777777"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Покупатель, обеспечивает его конфиденциальное рассмотрение уведомления, а также 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направляет Продавцу мотивированный ответ в течение 30 (Тридцати) календарных дней с даты получения уведомления. В случае несогласия Покупателя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должна привести возражения в отношении направленных сведений о Нарушении коррупционной направленности.</w:t>
      </w:r>
    </w:p>
    <w:p w14:paraId="01659C3D" w14:textId="77777777"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а) получения Продавцом от Покупателя ответа, подтверждающего Нарушение коррупционной направленности, или б) отсутствия в полученном Продавцом ответе от Покупателя возражений в отношении направленных сведений о Нарушении коррупционной направленности, Продавец вправе расторгнуть Договор в одностороннем внесудебном порядке, направив письменное уведомление о расторжении.</w:t>
      </w:r>
    </w:p>
    <w:p w14:paraId="32278B34" w14:textId="77777777"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указанных случаях Договор считается расторгнутым по истечении 10 (Десяти) календарных дней с даты получения Покупателем соответствующего письменного уведомления о расторжении Договора. Продавец,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321428D4" w14:textId="77777777" w:rsidR="00B74545" w:rsidRPr="00B74545" w:rsidRDefault="00B74545" w:rsidP="00B74545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Персональные данные</w:t>
      </w:r>
    </w:p>
    <w:p w14:paraId="4A6F1150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21F8066A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431AD24C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недопущение обработки персональных данных, в целях, не 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77027384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34167ADA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Трансграничная передача персональных данных Сторонами не допускается в рамках исполнения Договора.</w:t>
      </w:r>
    </w:p>
    <w:p w14:paraId="5D73C640" w14:textId="77777777" w:rsidR="00B74545" w:rsidRPr="00B74545" w:rsidRDefault="00B74545" w:rsidP="00B74545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962E9" w14:textId="77777777" w:rsidR="00B74545" w:rsidRPr="00B74545" w:rsidRDefault="00B74545" w:rsidP="00B74545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Прочие условия</w:t>
      </w:r>
    </w:p>
    <w:p w14:paraId="5AA4606E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регулируется законодательством Российской Федерации и подлежит толкованию в соответствии с ним.</w:t>
      </w:r>
    </w:p>
    <w:p w14:paraId="6F14495B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14:paraId="784F0963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Споры между Сторонами подлежат рассмотрению по месту нахождения Объектов.</w:t>
      </w:r>
    </w:p>
    <w:p w14:paraId="6ABF4076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условий Договора возможно только путем подписания Сторонами дополнительного соглашения к нему.</w:t>
      </w:r>
    </w:p>
    <w:p w14:paraId="4618E93A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 изменении своих почтовых адресов Стороны обязуются информировать друг друга в течение 3 (Трех) рабочих дней с момента такого изменения.</w:t>
      </w:r>
    </w:p>
    <w:p w14:paraId="44B8214C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подписания Договора Покупателем были прочитаны все его пункты,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 </w:t>
      </w:r>
    </w:p>
    <w:p w14:paraId="66E24888" w14:textId="77777777"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подтверждают и гарантируют, что на дату заключения Договора: </w:t>
      </w:r>
    </w:p>
    <w:p w14:paraId="12058724" w14:textId="77777777"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14:paraId="791E1B9C" w14:textId="77777777"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согласия, необходимые для заключения Договора,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14:paraId="13161DF8" w14:textId="77777777"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14:paraId="528874F4" w14:textId="77777777"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14:paraId="57FBA7E1" w14:textId="77777777"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14:paraId="6C644A83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E8B7362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Адреса, реквизиты и подписи Сторон</w:t>
      </w:r>
    </w:p>
    <w:p w14:paraId="26D650BE" w14:textId="77777777"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B74545" w:rsidRPr="00B74545" w14:paraId="7891C03C" w14:textId="77777777" w:rsidTr="002962EC">
        <w:trPr>
          <w:trHeight w:val="319"/>
        </w:trPr>
        <w:tc>
          <w:tcPr>
            <w:tcW w:w="4996" w:type="dxa"/>
          </w:tcPr>
          <w:p w14:paraId="06E45036" w14:textId="77777777"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14:paraId="7FE5CA28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_____________________</w:t>
            </w:r>
          </w:p>
          <w:p w14:paraId="2D89569F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CCCF6E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343E753F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5B24B3E6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2A16595F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366F4AAF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6690E5C0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5FCAF035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076E0BF5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CD5C4B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5A7C1F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6C3D82C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248F06C" w14:textId="77777777"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33C09F2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</w:t>
            </w:r>
          </w:p>
          <w:p w14:paraId="715650EB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6B4D92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0A8B99CE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14:paraId="1FFCC4A3" w14:textId="331E4682" w:rsidR="00B74545" w:rsidRPr="00B74545" w:rsidRDefault="001822E7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00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Индивидуальный предприниматель Седов Виктор Владимирович </w:t>
            </w:r>
            <w:r w:rsidRPr="009400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(ИНН 667330194288, паспорт серия ___ номер _______, выдан __.__.____ ___________________________________, адрес регистрации: _____________________________________________</w:t>
            </w:r>
          </w:p>
          <w:p w14:paraId="73D81614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3D3EAD0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E3F69E" w14:textId="1AF761D5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1822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Седов В.В.</w:t>
            </w:r>
          </w:p>
          <w:p w14:paraId="4B78E90F" w14:textId="77777777"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A88AB32" w14:textId="77777777" w:rsidR="00B74545" w:rsidRPr="00B74545" w:rsidRDefault="00B74545" w:rsidP="006B5E9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B74545" w:rsidRPr="00B74545" w:rsidSect="00131A40">
      <w:pgSz w:w="11906" w:h="16838"/>
      <w:pgMar w:top="709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A8CD" w14:textId="77777777" w:rsidR="00B06A59" w:rsidRDefault="00B06A59" w:rsidP="00B74545">
      <w:pPr>
        <w:spacing w:after="0" w:line="240" w:lineRule="auto"/>
      </w:pPr>
      <w:r>
        <w:separator/>
      </w:r>
    </w:p>
  </w:endnote>
  <w:endnote w:type="continuationSeparator" w:id="0">
    <w:p w14:paraId="7EF40B86" w14:textId="77777777" w:rsidR="00B06A59" w:rsidRDefault="00B06A59" w:rsidP="00B7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557D" w14:textId="77777777" w:rsidR="00B06A59" w:rsidRDefault="00B06A59" w:rsidP="00B74545">
      <w:pPr>
        <w:spacing w:after="0" w:line="240" w:lineRule="auto"/>
      </w:pPr>
      <w:r>
        <w:separator/>
      </w:r>
    </w:p>
  </w:footnote>
  <w:footnote w:type="continuationSeparator" w:id="0">
    <w:p w14:paraId="71C3726E" w14:textId="77777777" w:rsidR="00B06A59" w:rsidRDefault="00B06A59" w:rsidP="00B74545">
      <w:pPr>
        <w:spacing w:after="0" w:line="240" w:lineRule="auto"/>
      </w:pPr>
      <w:r>
        <w:continuationSeparator/>
      </w:r>
    </w:p>
  </w:footnote>
  <w:footnote w:id="1">
    <w:p w14:paraId="37E01F0A" w14:textId="77777777" w:rsidR="00B74545" w:rsidRPr="007D1F4E" w:rsidRDefault="00B74545" w:rsidP="00B74545">
      <w:pPr>
        <w:pStyle w:val="a3"/>
        <w:jc w:val="both"/>
      </w:pPr>
      <w:r>
        <w:rPr>
          <w:rStyle w:val="a5"/>
        </w:rPr>
        <w:footnoteRef/>
      </w:r>
      <w:r w:rsidRPr="007D1F4E"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">
    <w:p w14:paraId="2C13A59D" w14:textId="77777777" w:rsidR="00B74545" w:rsidRPr="007D1F4E" w:rsidRDefault="00B74545" w:rsidP="00B74545">
      <w:pPr>
        <w:pStyle w:val="a3"/>
      </w:pPr>
      <w:r>
        <w:rPr>
          <w:rStyle w:val="a5"/>
        </w:rPr>
        <w:footnoteRef/>
      </w:r>
      <w:r w:rsidRPr="007D1F4E">
        <w:t xml:space="preserve"> Уведомления направляются в порядке и по адресам, указанным в Договоре.</w:t>
      </w:r>
    </w:p>
  </w:footnote>
  <w:footnote w:id="3">
    <w:p w14:paraId="08C54FDB" w14:textId="77777777" w:rsidR="00B74545" w:rsidRPr="007D1F4E" w:rsidRDefault="00B74545" w:rsidP="00B74545">
      <w:pPr>
        <w:pStyle w:val="a3"/>
        <w:jc w:val="both"/>
      </w:pPr>
      <w:r>
        <w:rPr>
          <w:rStyle w:val="a5"/>
        </w:rPr>
        <w:footnoteRef/>
      </w:r>
      <w:r w:rsidRPr="007D1F4E">
        <w:t xml:space="preserve"> К ним относятся показания участников и очевидцев событий, письменные документы, переписка посредством электронной почты, смс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8A4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31AF8"/>
    <w:multiLevelType w:val="hybridMultilevel"/>
    <w:tmpl w:val="856AB6C2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3CF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83C71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241F7FFB"/>
    <w:multiLevelType w:val="hybridMultilevel"/>
    <w:tmpl w:val="E5D4988A"/>
    <w:lvl w:ilvl="0" w:tplc="73CA7E5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7" w15:restartNumberingAfterBreak="0">
    <w:nsid w:val="3C444B83"/>
    <w:multiLevelType w:val="hybridMultilevel"/>
    <w:tmpl w:val="616E3506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2" w15:restartNumberingAfterBreak="0">
    <w:nsid w:val="503662DC"/>
    <w:multiLevelType w:val="hybridMultilevel"/>
    <w:tmpl w:val="C9C080FC"/>
    <w:lvl w:ilvl="0" w:tplc="A3FEF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9F1333"/>
    <w:multiLevelType w:val="hybridMultilevel"/>
    <w:tmpl w:val="83748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359597708">
    <w:abstractNumId w:val="11"/>
  </w:num>
  <w:num w:numId="2" w16cid:durableId="1779134956">
    <w:abstractNumId w:val="6"/>
  </w:num>
  <w:num w:numId="3" w16cid:durableId="282078480">
    <w:abstractNumId w:val="1"/>
  </w:num>
  <w:num w:numId="4" w16cid:durableId="8875298">
    <w:abstractNumId w:val="16"/>
  </w:num>
  <w:num w:numId="5" w16cid:durableId="985167235">
    <w:abstractNumId w:val="4"/>
  </w:num>
  <w:num w:numId="6" w16cid:durableId="463550308">
    <w:abstractNumId w:val="8"/>
  </w:num>
  <w:num w:numId="7" w16cid:durableId="1219592145">
    <w:abstractNumId w:val="15"/>
  </w:num>
  <w:num w:numId="8" w16cid:durableId="554003227">
    <w:abstractNumId w:val="10"/>
  </w:num>
  <w:num w:numId="9" w16cid:durableId="730427244">
    <w:abstractNumId w:val="9"/>
  </w:num>
  <w:num w:numId="10" w16cid:durableId="2025934727">
    <w:abstractNumId w:val="2"/>
  </w:num>
  <w:num w:numId="11" w16cid:durableId="574121128">
    <w:abstractNumId w:val="12"/>
  </w:num>
  <w:num w:numId="12" w16cid:durableId="1344209254">
    <w:abstractNumId w:val="3"/>
  </w:num>
  <w:num w:numId="13" w16cid:durableId="348020731">
    <w:abstractNumId w:val="0"/>
  </w:num>
  <w:num w:numId="14" w16cid:durableId="1041591544">
    <w:abstractNumId w:val="5"/>
  </w:num>
  <w:num w:numId="15" w16cid:durableId="1694501833">
    <w:abstractNumId w:val="14"/>
  </w:num>
  <w:num w:numId="16" w16cid:durableId="1917085194">
    <w:abstractNumId w:val="13"/>
  </w:num>
  <w:num w:numId="17" w16cid:durableId="66457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FE"/>
    <w:rsid w:val="000B5FE6"/>
    <w:rsid w:val="00131A40"/>
    <w:rsid w:val="001822E7"/>
    <w:rsid w:val="00203296"/>
    <w:rsid w:val="003D6838"/>
    <w:rsid w:val="004D1EC1"/>
    <w:rsid w:val="005A3E3B"/>
    <w:rsid w:val="006B5E90"/>
    <w:rsid w:val="009400D1"/>
    <w:rsid w:val="00B06A59"/>
    <w:rsid w:val="00B74545"/>
    <w:rsid w:val="00D47F8D"/>
    <w:rsid w:val="00D642FE"/>
    <w:rsid w:val="00E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F80"/>
  <w15:chartTrackingRefBased/>
  <w15:docId w15:val="{BD9F7EA9-C06B-45D3-A304-B613E57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5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4545"/>
    <w:rPr>
      <w:sz w:val="20"/>
      <w:szCs w:val="20"/>
    </w:rPr>
  </w:style>
  <w:style w:type="character" w:styleId="a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rsid w:val="00B74545"/>
    <w:rPr>
      <w:rFonts w:ascii="Times New Roman" w:hAnsi="Times New Roman" w:cs="Times New Roman"/>
      <w:vertAlign w:val="superscript"/>
    </w:rPr>
  </w:style>
  <w:style w:type="table" w:customStyle="1" w:styleId="2">
    <w:name w:val="Сетка таблицы2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7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B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2381</Words>
  <Characters>16788</Characters>
  <Application>Microsoft Office Word</Application>
  <DocSecurity>0</DocSecurity>
  <Lines>399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8</cp:lastModifiedBy>
  <cp:revision>3</cp:revision>
  <dcterms:created xsi:type="dcterms:W3CDTF">2026-05-21T18:27:00Z</dcterms:created>
  <dcterms:modified xsi:type="dcterms:W3CDTF">2026-05-24T12:57:00Z</dcterms:modified>
</cp:coreProperties>
</file>