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7E0D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C4EAD03" w14:textId="77777777" w:rsidR="00A25E9D" w:rsidRPr="00F15D26" w:rsidRDefault="00A25E9D" w:rsidP="00A25E9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1502255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A41F357" w14:textId="4A1FE735" w:rsidR="00A25E9D" w:rsidRPr="00BE014F" w:rsidRDefault="00A25E9D" w:rsidP="00A25E9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>купли-продажи объект</w:t>
      </w:r>
      <w:r w:rsidR="0029249F">
        <w:rPr>
          <w:b/>
          <w:sz w:val="22"/>
          <w:szCs w:val="22"/>
          <w:lang w:val="ru-RU"/>
        </w:rPr>
        <w:t>ов</w:t>
      </w:r>
      <w:r w:rsidRPr="00BE014F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</w:t>
      </w:r>
      <w:r w:rsidR="0029249F">
        <w:rPr>
          <w:b/>
          <w:sz w:val="22"/>
          <w:szCs w:val="22"/>
          <w:lang w:val="ru-RU"/>
        </w:rPr>
        <w:t>го</w:t>
      </w:r>
      <w:r w:rsidRPr="00BE014F">
        <w:rPr>
          <w:b/>
          <w:sz w:val="22"/>
          <w:szCs w:val="22"/>
          <w:lang w:val="ru-RU"/>
        </w:rPr>
        <w:t xml:space="preserve"> имущества</w:t>
      </w:r>
    </w:p>
    <w:p w14:paraId="7F212FFC" w14:textId="2021165C" w:rsidR="00A25E9D" w:rsidRPr="00BE014F" w:rsidRDefault="00A25E9D" w:rsidP="00A25E9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29249F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BE014F">
        <w:rPr>
          <w:sz w:val="22"/>
          <w:szCs w:val="22"/>
          <w:lang w:val="ru-RU"/>
        </w:rPr>
        <w:t>г.</w:t>
      </w:r>
    </w:p>
    <w:p w14:paraId="373ADF84" w14:textId="4F88DF51" w:rsidR="00A25E9D" w:rsidRPr="00BE014F" w:rsidRDefault="00871109" w:rsidP="00A25E9D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148021647"/>
      <w:r w:rsidRPr="00254E7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</w:t>
      </w:r>
      <w:bookmarkEnd w:id="0"/>
      <w:r w:rsidR="00254E7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</w:t>
      </w:r>
      <w:r w:rsidR="00254E7B" w:rsidRPr="00254E7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Общество с ограниченной ответственностью «Независимый регистратор «АВАЛ»,</w:t>
      </w:r>
      <w:r w:rsidR="00254E7B" w:rsidRPr="00254E7B">
        <w:rPr>
          <w:rFonts w:ascii="Times New Roman" w:hAnsi="Times New Roman" w:cs="Times New Roman"/>
          <w:sz w:val="22"/>
          <w:szCs w:val="22"/>
          <w:lang w:val="ru-RU"/>
        </w:rPr>
        <w:t xml:space="preserve"> ИНН 4824012717, ОГРН 1024800826544, </w:t>
      </w:r>
      <w:r w:rsidR="00254E7B" w:rsidRPr="00254E7B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в лице директора общества Клевцова Дмитрия Валерьевича, действующего на основании Устава</w:t>
      </w:r>
      <w:r w:rsidRPr="00254E7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8711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="00A25E9D" w:rsidRPr="00BE014F">
        <w:rPr>
          <w:rFonts w:ascii="Times New Roman" w:hAnsi="Times New Roman" w:cs="Times New Roman"/>
          <w:sz w:val="22"/>
          <w:szCs w:val="22"/>
          <w:lang w:val="ru-RU"/>
        </w:rPr>
        <w:t>именуемый  в</w:t>
      </w:r>
      <w:proofErr w:type="gramEnd"/>
      <w:r w:rsidR="00A25E9D"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дальнейшем «Продавец» с одной стороны, </w:t>
      </w:r>
    </w:p>
    <w:p w14:paraId="689DA64A" w14:textId="77777777" w:rsidR="00A25E9D" w:rsidRPr="00EF3762" w:rsidRDefault="00A25E9D" w:rsidP="00A25E9D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3014ED6" w14:textId="77777777" w:rsidR="00A25E9D" w:rsidRDefault="00A25E9D" w:rsidP="00A25E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3A1512" w14:textId="77777777" w:rsidR="00A25E9D" w:rsidRPr="00F06C31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23474FA0" w14:textId="0B0F9761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</w:t>
      </w:r>
      <w:r w:rsidRPr="00EF3762">
        <w:rPr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</w:t>
      </w:r>
      <w:r w:rsidR="00871109"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ых</w:t>
      </w:r>
      <w:r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proofErr w:type="spellStart"/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proofErr w:type="spellEnd"/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</w:t>
      </w:r>
      <w:r w:rsidR="00871109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</w:t>
      </w:r>
      <w:r w:rsidR="00254E7B">
        <w:rPr>
          <w:color w:val="000000"/>
          <w:sz w:val="22"/>
          <w:szCs w:val="22"/>
          <w:lang w:val="ru-RU"/>
        </w:rPr>
        <w:t xml:space="preserve"> 1</w:t>
      </w:r>
      <w:r w:rsidRPr="00EF3762">
        <w:rPr>
          <w:color w:val="000000"/>
          <w:sz w:val="22"/>
          <w:szCs w:val="22"/>
          <w:lang w:val="ru-RU"/>
        </w:rPr>
        <w:t>),</w:t>
      </w:r>
      <w:r w:rsidR="00254E7B">
        <w:rPr>
          <w:color w:val="000000"/>
          <w:sz w:val="22"/>
          <w:szCs w:val="22"/>
          <w:lang w:val="ru-RU"/>
        </w:rPr>
        <w:t xml:space="preserve">   </w:t>
      </w:r>
      <w:r w:rsidR="00254E7B" w:rsidRPr="00EF3762">
        <w:rPr>
          <w:color w:val="000000"/>
          <w:sz w:val="22"/>
          <w:szCs w:val="22"/>
          <w:lang w:val="ru-RU"/>
        </w:rPr>
        <w:t xml:space="preserve">______________, общей площадью _________ (__________) кв.м., </w:t>
      </w:r>
      <w:proofErr w:type="spellStart"/>
      <w:r w:rsidR="00254E7B"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="00254E7B"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="00254E7B"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="00254E7B" w:rsidRPr="00EF3762">
        <w:rPr>
          <w:color w:val="000000"/>
          <w:sz w:val="22"/>
          <w:szCs w:val="22"/>
          <w:lang w:val="ru-RU"/>
        </w:rPr>
        <w:t>____ по адресу: _____ (далее – Объект</w:t>
      </w:r>
      <w:r w:rsidR="00254E7B">
        <w:rPr>
          <w:color w:val="000000"/>
          <w:sz w:val="22"/>
          <w:szCs w:val="22"/>
          <w:lang w:val="ru-RU"/>
        </w:rPr>
        <w:t xml:space="preserve"> 2</w:t>
      </w:r>
      <w:r w:rsidR="00254E7B" w:rsidRPr="00EF3762">
        <w:rPr>
          <w:color w:val="000000"/>
          <w:sz w:val="22"/>
          <w:szCs w:val="22"/>
          <w:lang w:val="ru-RU"/>
        </w:rPr>
        <w:t xml:space="preserve">), </w:t>
      </w:r>
      <w:r w:rsidRPr="00EF3762">
        <w:rPr>
          <w:color w:val="000000"/>
          <w:sz w:val="22"/>
          <w:szCs w:val="22"/>
          <w:lang w:val="ru-RU"/>
        </w:rPr>
        <w:t xml:space="preserve"> ______________________________________________________________________________________</w:t>
      </w:r>
    </w:p>
    <w:p w14:paraId="01C66FD1" w14:textId="702F29FE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>и уплатить за Объект</w:t>
      </w:r>
      <w:r w:rsidR="00254E7B">
        <w:rPr>
          <w:color w:val="000000"/>
          <w:sz w:val="22"/>
          <w:szCs w:val="22"/>
          <w:lang w:val="ru-RU"/>
        </w:rPr>
        <w:t>ы</w:t>
      </w:r>
      <w:r w:rsidRPr="00EF3762">
        <w:rPr>
          <w:color w:val="000000"/>
          <w:sz w:val="22"/>
          <w:szCs w:val="22"/>
          <w:lang w:val="ru-RU"/>
        </w:rPr>
        <w:t xml:space="preserve">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34BC4B5D" w14:textId="1636DB65" w:rsidR="00A25E9D" w:rsidRPr="00EF3762" w:rsidRDefault="00A25E9D" w:rsidP="00A25E9D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</w:t>
      </w:r>
      <w:r w:rsidR="00254E7B">
        <w:rPr>
          <w:color w:val="000000"/>
          <w:sz w:val="22"/>
          <w:szCs w:val="22"/>
          <w:lang w:val="ru-RU"/>
        </w:rPr>
        <w:t>ы</w:t>
      </w:r>
      <w:r w:rsidRPr="00EF3762">
        <w:rPr>
          <w:color w:val="000000"/>
          <w:sz w:val="22"/>
          <w:szCs w:val="22"/>
          <w:lang w:val="ru-RU"/>
        </w:rPr>
        <w:t xml:space="preserve"> удостоверя</w:t>
      </w:r>
      <w:r w:rsidR="00254E7B">
        <w:rPr>
          <w:color w:val="000000"/>
          <w:sz w:val="22"/>
          <w:szCs w:val="22"/>
          <w:lang w:val="ru-RU"/>
        </w:rPr>
        <w:t>ю</w:t>
      </w:r>
      <w:r w:rsidRPr="00EF3762">
        <w:rPr>
          <w:color w:val="000000"/>
          <w:sz w:val="22"/>
          <w:szCs w:val="22"/>
          <w:lang w:val="ru-RU"/>
        </w:rPr>
        <w:t>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36A40F99" w14:textId="4FF96C02" w:rsidR="00A25E9D" w:rsidRPr="00871109" w:rsidRDefault="00A25E9D" w:rsidP="00A25E9D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Продавец гарантирует, что на дату заключения Договора Объект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никому не отчужден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, н</w:t>
      </w:r>
      <w:r w:rsidR="00871109"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е явля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ю</w:t>
      </w:r>
      <w:r w:rsidR="00871109"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тся предметом судебного разбирательства, не наход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я</w:t>
      </w:r>
      <w:r w:rsidR="00871109"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тся под арестом, не обременен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="00871109"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правами </w:t>
      </w:r>
      <w:r w:rsidRPr="00871109">
        <w:rPr>
          <w:rFonts w:ascii="Times New Roman" w:hAnsi="Times New Roman" w:cs="Times New Roman"/>
          <w:color w:val="000000"/>
          <w:sz w:val="22"/>
          <w:szCs w:val="22"/>
          <w:lang w:val="ru-RU"/>
        </w:rPr>
        <w:t>третьих лиц</w:t>
      </w:r>
      <w:r w:rsidR="00254E7B">
        <w:rPr>
          <w:rFonts w:ascii="Times New Roman" w:hAnsi="Times New Roman" w:cs="Times New Roman"/>
          <w:color w:val="000000"/>
          <w:sz w:val="22"/>
          <w:szCs w:val="22"/>
          <w:lang w:val="ru-RU"/>
        </w:rPr>
        <w:t>, кроме 11 краткосрочных договоров аренды</w:t>
      </w:r>
      <w:r w:rsidR="0029249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площади пом.18 на 5-ом этаже. </w:t>
      </w:r>
    </w:p>
    <w:p w14:paraId="4EF71EC6" w14:textId="77777777" w:rsidR="00A25E9D" w:rsidRPr="00EF3762" w:rsidRDefault="00A25E9D" w:rsidP="00A25E9D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796462A0" w14:textId="77777777" w:rsidR="00A25E9D" w:rsidRPr="00EF3762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1B288605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CAA24E3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65605B6" w14:textId="3195F2F4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</w:t>
      </w:r>
      <w:r w:rsidR="00871109" w:rsidRPr="00871109">
        <w:rPr>
          <w:rFonts w:ascii="Times New Roman" w:hAnsi="Times New Roman" w:cs="Times New Roman"/>
          <w:sz w:val="22"/>
          <w:szCs w:val="22"/>
          <w:lang w:val="ru-RU"/>
        </w:rPr>
        <w:t>10 (десяти) рабочих</w:t>
      </w:r>
      <w:r w:rsidRPr="00EF3762">
        <w:rPr>
          <w:sz w:val="22"/>
          <w:szCs w:val="22"/>
          <w:lang w:val="ru-RU"/>
        </w:rPr>
        <w:t xml:space="preserve"> дней со дня подписания Договора. </w:t>
      </w:r>
    </w:p>
    <w:p w14:paraId="4D25EAA9" w14:textId="77777777" w:rsidR="00A25E9D" w:rsidRPr="00EF3762" w:rsidRDefault="00A25E9D" w:rsidP="00A25E9D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6067FFC1" w14:textId="77777777" w:rsidR="00A25E9D" w:rsidRPr="002D31BD" w:rsidRDefault="00A25E9D" w:rsidP="00A25E9D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10CB731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680A38DA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B33EFB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27F33BD" w14:textId="77777777" w:rsidR="00A25E9D" w:rsidRPr="00EF3762" w:rsidRDefault="00A25E9D" w:rsidP="00A25E9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4F0BCCB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42877723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1F246D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693963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6F7ABF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68C8AE7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44AB295F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</w:p>
    <w:p w14:paraId="755EF6D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57310520" w14:textId="484F571D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E9E8740" w14:textId="3DC5AB1A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2B767EE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1B12D2" w14:textId="77777777" w:rsidR="00A25E9D" w:rsidRPr="00EF3762" w:rsidRDefault="00A25E9D" w:rsidP="00A25E9D">
      <w:pPr>
        <w:ind w:firstLine="540"/>
        <w:jc w:val="center"/>
        <w:rPr>
          <w:sz w:val="22"/>
          <w:szCs w:val="22"/>
          <w:lang w:val="ru-RU"/>
        </w:rPr>
      </w:pPr>
    </w:p>
    <w:p w14:paraId="06ADB16C" w14:textId="77777777" w:rsidR="00A25E9D" w:rsidRPr="006164E0" w:rsidRDefault="00A25E9D" w:rsidP="00A25E9D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07C3960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8B2059B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08DF8DA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190B278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71B4F07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6DB3AA8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0A258A9" w14:textId="77777777" w:rsidR="00A25E9D" w:rsidRPr="00EF3762" w:rsidRDefault="00A25E9D" w:rsidP="00A25E9D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300DDC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419068D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C120718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3AA7168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3C60A89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5F8ECE09" w14:textId="3430A08A" w:rsidR="00A25E9D" w:rsidRPr="006164E0" w:rsidRDefault="00254E7B" w:rsidP="00A25E9D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="00A25E9D" w:rsidRPr="006164E0">
        <w:rPr>
          <w:b w:val="0"/>
          <w:sz w:val="22"/>
          <w:szCs w:val="22"/>
        </w:rPr>
        <w:t xml:space="preserve">. </w:t>
      </w:r>
      <w:r w:rsidR="00A25E9D"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048305D1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182CE89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23A2CAC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CD0803B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5D3FE53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0D08B0A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B72C177" w14:textId="77777777" w:rsidR="00A25E9D" w:rsidRPr="00522D78" w:rsidRDefault="00A25E9D" w:rsidP="00A25E9D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74F354" w14:textId="782F66A7" w:rsidR="00A25E9D" w:rsidRPr="00254E7B" w:rsidRDefault="00254E7B" w:rsidP="00A25E9D">
      <w:pPr>
        <w:jc w:val="center"/>
        <w:rPr>
          <w:sz w:val="22"/>
          <w:szCs w:val="22"/>
          <w:lang w:val="ru-RU"/>
        </w:rPr>
      </w:pPr>
      <w:r>
        <w:rPr>
          <w:b/>
          <w:color w:val="000000"/>
          <w:sz w:val="23"/>
          <w:szCs w:val="23"/>
          <w:lang w:val="ru-RU"/>
        </w:rPr>
        <w:t>8</w:t>
      </w:r>
      <w:r w:rsidR="00A25E9D" w:rsidRPr="00F06C31">
        <w:rPr>
          <w:b/>
          <w:color w:val="000000"/>
          <w:sz w:val="23"/>
          <w:szCs w:val="23"/>
          <w:lang w:val="ru-RU"/>
        </w:rPr>
        <w:t>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25E9D" w:rsidRPr="00254E7B" w14:paraId="3D36BBF7" w14:textId="77777777" w:rsidTr="001060F1">
        <w:trPr>
          <w:jc w:val="center"/>
        </w:trPr>
        <w:tc>
          <w:tcPr>
            <w:tcW w:w="4954" w:type="dxa"/>
          </w:tcPr>
          <w:p w14:paraId="2DA7DC85" w14:textId="77777777" w:rsidR="00A25E9D" w:rsidRPr="00093498" w:rsidRDefault="00A25E9D" w:rsidP="001060F1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BC3AFAA" w14:textId="77777777" w:rsidR="00A25E9D" w:rsidRPr="00093498" w:rsidRDefault="00A25E9D" w:rsidP="001060F1">
            <w:pPr>
              <w:pStyle w:val="a3"/>
              <w:widowControl w:val="0"/>
              <w:ind w:firstLine="0"/>
              <w:jc w:val="left"/>
            </w:pPr>
          </w:p>
        </w:tc>
      </w:tr>
    </w:tbl>
    <w:p w14:paraId="77D5B6D6" w14:textId="77777777" w:rsidR="00A25E9D" w:rsidRPr="00217236" w:rsidRDefault="00A25E9D" w:rsidP="00A25E9D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5CD43437" w14:textId="77777777" w:rsidR="00A25E9D" w:rsidRPr="00217236" w:rsidRDefault="00A25E9D" w:rsidP="00A25E9D">
      <w:pPr>
        <w:spacing w:before="240"/>
        <w:jc w:val="both"/>
        <w:rPr>
          <w:b/>
          <w:sz w:val="22"/>
          <w:szCs w:val="22"/>
          <w:lang w:val="ru-RU"/>
        </w:rPr>
      </w:pPr>
    </w:p>
    <w:p w14:paraId="53E40137" w14:textId="77777777" w:rsidR="00A25E9D" w:rsidRPr="00614782" w:rsidRDefault="00A25E9D" w:rsidP="00A25E9D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6D0F6FA6" w14:textId="77777777" w:rsidR="00A25E9D" w:rsidRPr="00A13CFC" w:rsidRDefault="00A25E9D" w:rsidP="00A25E9D">
      <w:pPr>
        <w:jc w:val="center"/>
        <w:rPr>
          <w:b/>
          <w:sz w:val="22"/>
          <w:szCs w:val="22"/>
          <w:lang w:val="ru-RU"/>
        </w:rPr>
      </w:pPr>
    </w:p>
    <w:p w14:paraId="12C7CADD" w14:textId="77777777" w:rsidR="00472752" w:rsidRPr="00254E7B" w:rsidRDefault="00472752">
      <w:pPr>
        <w:rPr>
          <w:lang w:val="ru-RU"/>
        </w:rPr>
      </w:pPr>
    </w:p>
    <w:sectPr w:rsidR="00472752" w:rsidRPr="00254E7B" w:rsidSect="00A25E9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B3FB" w14:textId="77777777" w:rsidR="00AF3DB1" w:rsidRDefault="00AF3DB1" w:rsidP="00871109">
      <w:r>
        <w:separator/>
      </w:r>
    </w:p>
  </w:endnote>
  <w:endnote w:type="continuationSeparator" w:id="0">
    <w:p w14:paraId="45ADA95D" w14:textId="77777777" w:rsidR="00AF3DB1" w:rsidRDefault="00AF3DB1" w:rsidP="0087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D911" w14:textId="77777777" w:rsidR="00AF3DB1" w:rsidRDefault="00AF3DB1" w:rsidP="00871109">
      <w:r>
        <w:separator/>
      </w:r>
    </w:p>
  </w:footnote>
  <w:footnote w:type="continuationSeparator" w:id="0">
    <w:p w14:paraId="26B0D83F" w14:textId="77777777" w:rsidR="00AF3DB1" w:rsidRDefault="00AF3DB1" w:rsidP="0087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44"/>
    <w:rsid w:val="00254E7B"/>
    <w:rsid w:val="0029249F"/>
    <w:rsid w:val="00472752"/>
    <w:rsid w:val="00781FC7"/>
    <w:rsid w:val="00871109"/>
    <w:rsid w:val="00A25E9D"/>
    <w:rsid w:val="00AF3DB1"/>
    <w:rsid w:val="00B63DB5"/>
    <w:rsid w:val="00BD3B44"/>
    <w:rsid w:val="00E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DEEF"/>
  <w15:chartTrackingRefBased/>
  <w15:docId w15:val="{CFAD624C-9F2B-4031-A364-E18C07A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9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5E9D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25E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25E9D"/>
    <w:pPr>
      <w:ind w:left="720"/>
      <w:contextualSpacing/>
    </w:pPr>
  </w:style>
  <w:style w:type="paragraph" w:customStyle="1" w:styleId="ConsNormal">
    <w:name w:val="ConsNormal"/>
    <w:rsid w:val="00A25E9D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A25E9D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711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71109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styleId="a9">
    <w:name w:val="endnote reference"/>
    <w:basedOn w:val="a0"/>
    <w:uiPriority w:val="99"/>
    <w:semiHidden/>
    <w:unhideWhenUsed/>
    <w:rsid w:val="0087110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8711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1109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6590-00CF-4DCC-B098-F9D608BC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2026-05-29T11:39:00Z</dcterms:created>
  <dcterms:modified xsi:type="dcterms:W3CDTF">2026-05-29T11:39:00Z</dcterms:modified>
</cp:coreProperties>
</file>