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1CD7" w:rsidRDefault="00A91CD7" w:rsidP="00EC0662">
      <w:pPr>
        <w:pStyle w:val="a6"/>
        <w:rPr>
          <w:b w:val="0"/>
          <w:i/>
          <w:color w:val="FF0000"/>
          <w:sz w:val="22"/>
          <w:szCs w:val="22"/>
          <w:lang w:val="ru-RU"/>
        </w:rPr>
      </w:pPr>
    </w:p>
    <w:p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rsidR="00EC0662" w:rsidRPr="00F224CD" w:rsidRDefault="00EC0662" w:rsidP="00EC0662">
      <w:pPr>
        <w:rPr>
          <w:color w:val="000000"/>
          <w:sz w:val="24"/>
          <w:szCs w:val="24"/>
        </w:rPr>
      </w:pPr>
    </w:p>
    <w:p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rsidR="00B61146" w:rsidRPr="00F224CD" w:rsidRDefault="00B61146" w:rsidP="00FB0E40">
      <w:pPr>
        <w:pStyle w:val="HTML"/>
        <w:tabs>
          <w:tab w:val="clear" w:pos="916"/>
          <w:tab w:val="left" w:pos="709"/>
        </w:tabs>
        <w:ind w:firstLine="709"/>
        <w:jc w:val="both"/>
        <w:rPr>
          <w:rFonts w:ascii="Times New Roman" w:hAnsi="Times New Roman"/>
          <w:sz w:val="23"/>
          <w:szCs w:val="23"/>
        </w:rPr>
      </w:pPr>
    </w:p>
    <w:p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rsidR="00AE6899" w:rsidRPr="00F224CD" w:rsidRDefault="00AE6899" w:rsidP="00AE6899">
      <w:pPr>
        <w:pStyle w:val="3"/>
        <w:ind w:firstLine="709"/>
        <w:jc w:val="center"/>
        <w:rPr>
          <w:b/>
          <w:color w:val="000000"/>
          <w:sz w:val="23"/>
          <w:szCs w:val="23"/>
        </w:rPr>
      </w:pPr>
    </w:p>
    <w:p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0D44EB">
        <w:rPr>
          <w:b/>
          <w:color w:val="000000"/>
          <w:sz w:val="23"/>
          <w:szCs w:val="23"/>
        </w:rPr>
        <w:t>С</w:t>
      </w:r>
      <w:r w:rsidRPr="00F224CD">
        <w:rPr>
          <w:b/>
          <w:color w:val="000000"/>
          <w:sz w:val="23"/>
          <w:szCs w:val="23"/>
        </w:rPr>
        <w:t>ЧЕТОВ</w:t>
      </w:r>
    </w:p>
    <w:p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rsidR="00E60EF9" w:rsidRPr="00F224CD" w:rsidRDefault="00E60EF9" w:rsidP="00AE6899">
      <w:pPr>
        <w:ind w:firstLine="709"/>
        <w:rPr>
          <w:color w:val="000000"/>
          <w:sz w:val="23"/>
          <w:szCs w:val="23"/>
        </w:rPr>
      </w:pPr>
    </w:p>
    <w:p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rsidR="00353818" w:rsidRPr="00961696" w:rsidRDefault="00353818" w:rsidP="000D4745">
      <w:pPr>
        <w:ind w:firstLine="709"/>
        <w:rPr>
          <w:sz w:val="23"/>
          <w:szCs w:val="23"/>
        </w:rPr>
      </w:pPr>
    </w:p>
    <w:p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rsidR="00B93A54" w:rsidRPr="00DD5638" w:rsidRDefault="008A5581" w:rsidP="00031A1F">
      <w:pPr>
        <w:tabs>
          <w:tab w:val="left" w:pos="1276"/>
        </w:tabs>
        <w:ind w:firstLine="709"/>
        <w:rPr>
          <w:sz w:val="23"/>
          <w:szCs w:val="23"/>
        </w:rPr>
      </w:pPr>
      <w:r w:rsidRPr="00DD5638">
        <w:rPr>
          <w:sz w:val="23"/>
          <w:szCs w:val="23"/>
        </w:rPr>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rsidR="003B490E" w:rsidRPr="00F224CD" w:rsidRDefault="003B490E" w:rsidP="00031A1F">
      <w:pPr>
        <w:widowControl w:val="0"/>
        <w:ind w:firstLine="709"/>
        <w:jc w:val="center"/>
        <w:rPr>
          <w:b/>
          <w:sz w:val="22"/>
          <w:szCs w:val="22"/>
        </w:rPr>
      </w:pPr>
    </w:p>
    <w:p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rsidR="00FE6117" w:rsidRPr="00F224CD" w:rsidRDefault="00FE6117" w:rsidP="008513E0">
      <w:pPr>
        <w:widowControl w:val="0"/>
        <w:tabs>
          <w:tab w:val="left" w:pos="1134"/>
        </w:tabs>
        <w:spacing w:line="276" w:lineRule="auto"/>
        <w:ind w:firstLine="0"/>
        <w:jc w:val="center"/>
        <w:rPr>
          <w:sz w:val="22"/>
          <w:szCs w:val="22"/>
        </w:rPr>
      </w:pPr>
    </w:p>
    <w:p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rsidR="00FE6117" w:rsidRPr="00F224CD" w:rsidRDefault="00FE6117" w:rsidP="008513E0">
      <w:pPr>
        <w:widowControl w:val="0"/>
        <w:tabs>
          <w:tab w:val="left" w:pos="1134"/>
        </w:tabs>
        <w:spacing w:line="276" w:lineRule="auto"/>
        <w:ind w:firstLine="0"/>
        <w:jc w:val="center"/>
        <w:rPr>
          <w:sz w:val="22"/>
          <w:szCs w:val="22"/>
        </w:rPr>
      </w:pPr>
    </w:p>
    <w:p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rsidR="004E7D5D" w:rsidRPr="00F224CD" w:rsidRDefault="004E7D5D" w:rsidP="00B3457A">
      <w:pPr>
        <w:widowControl w:val="0"/>
        <w:tabs>
          <w:tab w:val="left" w:pos="1134"/>
        </w:tabs>
        <w:spacing w:line="276" w:lineRule="auto"/>
        <w:ind w:firstLine="0"/>
        <w:jc w:val="center"/>
        <w:rPr>
          <w:b/>
          <w:sz w:val="22"/>
          <w:szCs w:val="22"/>
        </w:rPr>
      </w:pPr>
    </w:p>
    <w:p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rsidR="00AE6899" w:rsidRPr="00F224CD" w:rsidRDefault="00AE6899" w:rsidP="00B3457A">
      <w:pPr>
        <w:tabs>
          <w:tab w:val="left" w:pos="1276"/>
        </w:tabs>
        <w:spacing w:line="276" w:lineRule="auto"/>
        <w:ind w:firstLine="709"/>
        <w:rPr>
          <w:sz w:val="22"/>
          <w:szCs w:val="22"/>
        </w:rPr>
      </w:pPr>
    </w:p>
    <w:p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rsidR="00A24A8A" w:rsidRPr="00604A33" w:rsidRDefault="00A24A8A" w:rsidP="00A24A8A">
      <w:pPr>
        <w:pStyle w:val="3"/>
        <w:rPr>
          <w:color w:val="000000"/>
          <w:sz w:val="23"/>
          <w:szCs w:val="23"/>
        </w:rPr>
      </w:pPr>
    </w:p>
    <w:p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rsidR="00E223A8" w:rsidRDefault="00E223A8" w:rsidP="00A24A8A">
      <w:pPr>
        <w:pStyle w:val="3"/>
        <w:ind w:firstLine="0"/>
        <w:jc w:val="center"/>
        <w:rPr>
          <w:b/>
          <w:color w:val="000000"/>
          <w:sz w:val="23"/>
          <w:szCs w:val="23"/>
        </w:rPr>
      </w:pPr>
    </w:p>
    <w:p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6DAF" w:rsidRDefault="001B6DAF">
      <w:r>
        <w:separator/>
      </w:r>
    </w:p>
  </w:endnote>
  <w:endnote w:type="continuationSeparator" w:id="0">
    <w:p w:rsidR="001B6DAF" w:rsidRDefault="001B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6DAF" w:rsidRDefault="001B6DAF">
      <w:r>
        <w:separator/>
      </w:r>
    </w:p>
  </w:footnote>
  <w:footnote w:type="continuationSeparator" w:id="0">
    <w:p w:rsidR="001B6DAF" w:rsidRDefault="001B6DAF">
      <w:r>
        <w:continuationSeparator/>
      </w:r>
    </w:p>
  </w:footnote>
  <w:footnote w:id="1">
    <w:p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4EB"/>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6DAF"/>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36F92"/>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8B31CDC-2765-4ED0-A08B-6E26EBFC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2368</Words>
  <Characters>13502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15839</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Гилемханова Венера Хакимьяновна</cp:lastModifiedBy>
  <cp:revision>2</cp:revision>
  <cp:lastPrinted>2021-02-25T12:55:00Z</cp:lastPrinted>
  <dcterms:created xsi:type="dcterms:W3CDTF">2026-05-27T13:36:00Z</dcterms:created>
  <dcterms:modified xsi:type="dcterms:W3CDTF">2026-05-27T13:36:00Z</dcterms:modified>
</cp:coreProperties>
</file>