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Апанасенковский район, Ставропольский край</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Панасенко Александр Васильевич (дата рождения: 16.01.1962 г., место рождения: с. Дивное Апанасенковского р-на Ставропольского края, СНИЛС 156-862-833 08, ИНН 260200362499 , регистрация по месту жительства: с. Дивное Апанасенковского р-на Ставропольского края) в лице  в лице финансового управляющего: Коваленко Артём Сергеевич, действует на основании решения Арбитражный суд Ставропольского края от 21.07.2025г.  по делу №А63-9763/2025, с одной стороны, и</w:t>
      </w:r>
    </w:p>
    <w:p>
      <w:pPr>
        <w:pStyle w:val="Normal"/>
        <w:spacing w:lineRule="auto" w:line="240" w:before="0" w:after="0"/>
        <w:ind w:firstLine="709" w:left="0" w:right="0"/>
        <w:jc w:val="both"/>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w:t>
      </w:r>
      <w:r>
        <w:rPr>
          <w:rFonts w:cs="Times New Roman" w:ascii="Times New Roman" w:hAnsi="Times New Roman"/>
          <w:sz w:val="20"/>
          <w:szCs w:val="20"/>
        </w:rPr>
        <w:t xml:space="preserve">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numPr>
          <w:ilvl w:val="1"/>
          <w:numId w:val="1"/>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numPr>
          <w:ilvl w:val="0"/>
          <w:numId w:val="0"/>
        </w:numPr>
        <w:spacing w:lineRule="auto" w:line="240" w:before="0" w:after="0"/>
        <w:ind w:hanging="0" w:left="72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tbl>
      <w:tblPr>
        <w:tblW w:w="9374" w:type="dxa"/>
        <w:jc w:val="left"/>
        <w:tblInd w:w="0" w:type="dxa"/>
        <w:tblLayout w:type="fixed"/>
        <w:tblCellMar>
          <w:top w:w="55" w:type="dxa"/>
          <w:left w:w="55" w:type="dxa"/>
          <w:bottom w:w="55" w:type="dxa"/>
          <w:right w:w="55" w:type="dxa"/>
        </w:tblCellMar>
      </w:tblPr>
      <w:tblGrid>
        <w:gridCol w:w="1475"/>
        <w:gridCol w:w="7898"/>
      </w:tblGrid>
      <w:tr>
        <w:trPr/>
        <w:tc>
          <w:tcPr>
            <w:tcW w:w="1475" w:type="dxa"/>
            <w:tcBorders>
              <w:top w:val="single" w:sz="2" w:space="0" w:color="000000"/>
              <w:left w:val="single" w:sz="2" w:space="0" w:color="000000"/>
              <w:bottom w:val="single" w:sz="2" w:space="0" w:color="000000"/>
            </w:tcBorders>
          </w:tcPr>
          <w:p>
            <w:pPr>
              <w:pStyle w:val="Style17"/>
              <w:widowControl w:val="false"/>
              <w:numPr>
                <w:ilvl w:val="0"/>
                <w:numId w:val="0"/>
              </w:numPr>
              <w:suppressAutoHyphens w:val="true"/>
              <w:bidi w:val="0"/>
              <w:spacing w:lineRule="auto" w:line="240" w:before="0" w:after="0"/>
              <w:ind w:hanging="0" w:left="57"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8" w:type="dxa"/>
            <w:tcBorders>
              <w:top w:val="single" w:sz="2" w:space="0" w:color="000000"/>
              <w:left w:val="single" w:sz="2" w:space="0" w:color="000000"/>
              <w:bottom w:val="single" w:sz="2" w:space="0" w:color="000000"/>
              <w:right w:val="single" w:sz="2" w:space="0" w:color="000000"/>
            </w:tcBorders>
          </w:tcPr>
          <w:p>
            <w:pPr>
              <w:pStyle w:val="Style17"/>
              <w:widowControl w:val="false"/>
              <w:numPr>
                <w:ilvl w:val="0"/>
                <w:numId w:val="0"/>
              </w:numPr>
              <w:suppressAutoHyphens w:val="true"/>
              <w:bidi w:val="0"/>
              <w:spacing w:lineRule="auto" w:line="240" w:before="0" w:after="0"/>
              <w:ind w:hanging="0" w:left="0" w:right="0"/>
              <w:contextualSpacing/>
              <w:jc w:val="both"/>
              <w:rPr>
                <w:rFonts w:ascii="Times New Roman" w:hAnsi="Times New Roman" w:cs="Times New Roman"/>
                <w:color w:val="FF0000"/>
                <w:sz w:val="20"/>
                <w:szCs w:val="20"/>
              </w:rPr>
            </w:pPr>
            <w:r>
              <w:rPr>
                <w:rFonts w:cs="Times New Roman" w:ascii="Times New Roman" w:hAnsi="Times New Roman"/>
                <w:color w:val="auto"/>
                <w:sz w:val="20"/>
                <w:szCs w:val="20"/>
              </w:rPr>
              <w:t>Доля в праве 2/4303 на земельный участок общей площадью 200 159 699.00 (+/- 124447) кв.м. Местоположение установлено относительноориентира, расположенного в границах участка.Почтовый адрес ориентира: пашня: секция 31 контур 22. Секция 17 контуры 400,40,37,17,20,14,11,8,5,1. Секция 19 контуры101,104,108,112,116,119,81,85,89,93,97.Секция 23 контуры 1. Секция 16 контуры 1,5,8,11,14,18,22,25,28,32,36,40,44. Секция 15 контуры 1,6,8,11,14,17,20,25,29,33,37,41,45,49. Секция 14 контуры 1,6,10,14,18,22,26,31,35,39,43,47,51,55.Секция 22 контуры 40,44,49,52,26,30,34,37,55,60,1,5,9,13,17,22,58,64.Секция 24 контуры 1,5,28. Секция 25 контур 1. Секция 23 контуры 20,6,24,14. Секция 23 контуры 29,32,34,36.Секция 24 контуры 44,49.Секция 32 контуры7,8,2,11,29,37.Секция 33 контур 9.Секция 40 контуры 12,9,6,1.Секция 36 контуры 91,80,75.Секция 40 контур 14.Секция 36 контуры 68,96,55,43,1.Секция 33 контуры15,18,21.Секция 32 контур55.Секция 33 контур1.Секция 32 контур 57.Секция 33 контур 4.Секция 32 контур 53.Секция 33 контур 2.Секция 29 контуры 44,46,50;пастбища: секция 3 контуры1,2,14,17,19,12,16,18,20,21,24,25,36,39,33,50,53,54,69,70,72,73,75,79,80.секция 4 контуры 1,3,4,5,9,15,18,32,29,33,35,36,48,42,58,59,61,64,67,70,73.Секция 5 контуры 9,11,14,17,20,23,26,33,28,30,36,41,43,49,44,61,65,72,68.Секция 6 контуры5,7,9,13,22,23,25,27,30,33,38,45,46,49,50,51,53,57,61,71,67,65,63,76,81,83,73.Секция 7 контуры1,3,6,8,180,18,19,21,24,29,30,32,53,51,54,35,33,50.Секция 9 контуры 56,57,58,64,63,70,67,68,81,87.Секция 10 контуры1,5,7,9,21,26,27,29,32,48,49,51,59,55,61.Секция 11 контуры1,2,4,10,20,22,26,30,53,89,87,42,43.Секция 13 контуры1,3,5,8,13,17,27,28,32,33,37,35,44,46,52,73,75,79,80,81,89,98,104,105,115,113.Секция 18 контуры9,26,28,33,36,40,44,47,48,49,51,54,56,59,63,65,71,80,82.Секция 21контуры13,1,15,130,17,19,35,30,36,38,39,41,45,47,49,57.Секция 41 контуры 29,71,74,86,89,93,95,99,101.Секция 35 контуры 1,4,5,17,24,28,34,37,40,45,49,51,55,58,63.Секция 37контуры 14,35,37,39,44,41,42,46,71,66,63,58,61.Секция 9 контур 53.Секция 41 контур 65, Апанасенковский район,Ставропольский край.Категория земель: земли сельскохозяйственного назначения. Вид разрешенного использования: для сельскохозяйственного производства.Имеется обременение в виде аренды.</w:t>
            </w:r>
          </w:p>
        </w:tc>
      </w:tr>
    </w:tbl>
    <w:p>
      <w:pPr>
        <w:pStyle w:val="Style17"/>
        <w:numPr>
          <w:ilvl w:val="1"/>
          <w:numId w:val="1"/>
        </w:numPr>
        <w:spacing w:lineRule="auto" w:line="240" w:before="0" w:after="0"/>
        <w:ind w:firstLine="709" w:left="0" w:right="0"/>
        <w:contextualSpacing/>
        <w:jc w:val="both"/>
        <w:rPr/>
      </w:pPr>
      <w:r>
        <w:rPr>
          <w:rFonts w:cs="Times New Roman" w:ascii="Times New Roman" w:hAnsi="Times New Roman"/>
          <w:color w:val="000000"/>
          <w:sz w:val="20"/>
          <w:szCs w:val="20"/>
        </w:rPr>
        <w:t>Имущество принадлежит Продавцу на праве собственности, о чем в Едином государственном реестре пр</w:t>
      </w:r>
      <w:r>
        <w:rPr>
          <w:rFonts w:cs="Times New Roman" w:ascii="Times New Roman" w:hAnsi="Times New Roman"/>
          <w:color w:val="auto"/>
          <w:sz w:val="20"/>
          <w:szCs w:val="20"/>
        </w:rPr>
        <w:t xml:space="preserve">ав на недвижимое имущество и сделок с ним </w:t>
      </w:r>
      <w:r>
        <w:rPr>
          <w:rFonts w:eastAsia="Calibri" w:cs="Times New Roman" w:ascii="Times New Roman" w:hAnsi="Times New Roman"/>
          <w:color w:val="auto"/>
          <w:kern w:val="0"/>
          <w:sz w:val="20"/>
          <w:szCs w:val="20"/>
          <w:lang w:val="ru-RU" w:eastAsia="zh-CN" w:bidi="ar-SA"/>
        </w:rPr>
        <w:t>___-___-_____г. </w:t>
      </w:r>
      <w:r>
        <w:rPr>
          <w:rFonts w:cs="Times New Roman" w:ascii="Times New Roman" w:hAnsi="Times New Roman"/>
          <w:color w:val="auto"/>
          <w:sz w:val="20"/>
          <w:szCs w:val="20"/>
        </w:rPr>
        <w:t>сделана запись регистрации №____________.</w:t>
      </w:r>
    </w:p>
    <w:p>
      <w:pPr>
        <w:pStyle w:val="Style17"/>
        <w:numPr>
          <w:ilvl w:val="1"/>
          <w:numId w:val="1"/>
        </w:numPr>
        <w:spacing w:lineRule="auto" w:line="240" w:before="0" w:after="0"/>
        <w:ind w:firstLine="709" w:left="0" w:right="0"/>
        <w:contextualSpacing/>
        <w:jc w:val="both"/>
        <w:rPr>
          <w:color w:val="auto"/>
        </w:rPr>
      </w:pPr>
      <w:r>
        <w:rPr>
          <w:rFonts w:cs="Times New Roman" w:ascii="Times New Roman" w:hAnsi="Times New Roman"/>
          <w:bCs/>
          <w:color w:val="auto"/>
          <w:sz w:val="20"/>
          <w:szCs w:val="20"/>
        </w:rPr>
        <w:t>На Имущество зарегистрировано ограничение (обременение) права: Имеется обременение в виде аренды.</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1.4.</w:t>
        <w:tab/>
        <w:t>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 xml:space="preserve">За свой счет осуществить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включая оплату услуг нотариуса.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rFonts w:ascii="Times New Roman" w:hAnsi="Times New Roman" w:cs="Times New Roman"/>
          <w:color w:val="auto"/>
          <w:sz w:val="20"/>
          <w:szCs w:val="20"/>
        </w:rPr>
      </w:pPr>
      <w:r>
        <w:rPr>
          <w:rFonts w:cs="Times New Roman" w:ascii="Times New Roman" w:hAnsi="Times New Roman"/>
          <w:sz w:val="20"/>
          <w:szCs w:val="20"/>
        </w:rPr>
        <w:t>3.1.</w:t>
        <w:tab/>
        <w:t>Общая стоимость Имущества составляет ________ (______________) руб. __ коп.</w:t>
      </w:r>
    </w:p>
    <w:p>
      <w:pPr>
        <w:pStyle w:val="Normal"/>
        <w:spacing w:lineRule="auto" w:line="240" w:before="0" w:after="0"/>
        <w:ind w:firstLine="709" w:left="0" w:right="0"/>
        <w:jc w:val="both"/>
        <w:rPr/>
      </w:pPr>
      <w:r>
        <w:rPr>
          <w:rFonts w:cs="Times New Roman" w:ascii="Times New Roman" w:hAnsi="Times New Roman"/>
          <w:color w:val="000000"/>
          <w:sz w:val="20"/>
          <w:szCs w:val="20"/>
        </w:rPr>
        <w:t>3.2.</w:t>
      </w:r>
      <w:r>
        <w:rPr>
          <w:rFonts w:cs="Times New Roman" w:ascii="Times New Roman" w:hAnsi="Times New Roman"/>
          <w:sz w:val="20"/>
          <w:szCs w:val="20"/>
        </w:rPr>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t>Передача Имущества должна быть осущест</w:t>
      </w:r>
      <w:r>
        <w:rPr>
          <w:rFonts w:cs="Times New Roman" w:ascii="Times New Roman" w:hAnsi="Times New Roman"/>
          <w:color w:val="000000"/>
          <w:sz w:val="20"/>
          <w:szCs w:val="20"/>
        </w:rPr>
        <w:t>влена в течение 15 рабочих дней со д</w:t>
      </w:r>
      <w:r>
        <w:rPr>
          <w:rFonts w:cs="Times New Roman" w:ascii="Times New Roman" w:hAnsi="Times New Roman"/>
          <w:sz w:val="20"/>
          <w:szCs w:val="20"/>
        </w:rPr>
        <w:t>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4.3.</w:t>
        <w:tab/>
        <w:t xml:space="preserve">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4.4.</w:t>
        <w:tab/>
        <w:t>Риск случайной гибели или случайного повреждения Имущества переходят на Покупателя с момента подписания сторонами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Ответственность Сторон</w:t>
      </w:r>
    </w:p>
    <w:p>
      <w:pPr>
        <w:pStyle w:val="Style17"/>
        <w:numPr>
          <w:ilvl w:val="1"/>
          <w:numId w:val="1"/>
        </w:numPr>
        <w:spacing w:lineRule="auto" w:line="240" w:before="0" w:after="0"/>
        <w:ind w:firstLine="709" w:left="0" w:right="0"/>
        <w:contextualSpacing/>
        <w:jc w:val="both"/>
        <w:rPr/>
      </w:pPr>
      <w:r>
        <w:rPr>
          <w:rFonts w:cs="Times New Roman" w:ascii="Times New Roman" w:hAnsi="Times New Roman"/>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1"/>
        </w:numPr>
        <w:spacing w:lineRule="auto" w:line="240" w:before="0" w:after="0"/>
        <w:ind w:firstLine="709" w:left="0" w:right="0"/>
        <w:contextualSpacing/>
        <w:jc w:val="both"/>
        <w:rPr/>
      </w:pPr>
      <w:r>
        <w:rPr>
          <w:rFonts w:cs="Times New Roman" w:ascii="Times New Roman" w:hAnsi="Times New Roman"/>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Style17"/>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Заключительные положения</w:t>
      </w:r>
    </w:p>
    <w:p>
      <w:pPr>
        <w:pStyle w:val="Style17"/>
        <w:numPr>
          <w:ilvl w:val="1"/>
          <w:numId w:val="1"/>
        </w:numPr>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 надлежащем исполнении Сторонами своих обязательств;</w:t>
      </w:r>
    </w:p>
    <w:p>
      <w:pPr>
        <w:pStyle w:val="Style17"/>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 расторжении в предусмотренных законодательством Российской Федерации и настоящим Договором случаях.</w:t>
      </w:r>
    </w:p>
    <w:p>
      <w:pPr>
        <w:pStyle w:val="Style17"/>
        <w:numPr>
          <w:ilvl w:val="1"/>
          <w:numId w:val="1"/>
        </w:numPr>
        <w:spacing w:lineRule="auto" w:line="240" w:before="0" w:after="0"/>
        <w:ind w:firstLine="709" w:left="0" w:right="0"/>
        <w:contextualSpacing/>
        <w:jc w:val="both"/>
        <w:rPr/>
      </w:pPr>
      <w:r>
        <w:rPr>
          <w:rFonts w:cs="Times New Roman" w:ascii="Times New Roman" w:hAnsi="Times New Roman"/>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sz w:val="20"/>
          <w:szCs w:val="20"/>
        </w:rPr>
        <w:t>Суде, рассматривающем дело о банкротстве.</w:t>
      </w:r>
    </w:p>
    <w:p>
      <w:pPr>
        <w:pStyle w:val="Style17"/>
        <w:numPr>
          <w:ilvl w:val="1"/>
          <w:numId w:val="1"/>
        </w:numPr>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1"/>
        </w:numPr>
        <w:spacing w:lineRule="auto" w:line="240" w:before="0" w:after="0"/>
        <w:ind w:firstLine="709" w:left="0" w:right="0"/>
        <w:contextualSpacing/>
        <w:jc w:val="both"/>
        <w:rPr>
          <w:rFonts w:ascii="Times New Roman" w:hAnsi="Times New Roman" w:cs="Times New Roman"/>
          <w:sz w:val="20"/>
          <w:szCs w:val="20"/>
        </w:rPr>
      </w:pPr>
      <w:r>
        <w:rPr>
          <w:rFonts w:cs="Times New Roman" w:ascii="Times New Roman" w:hAnsi="Times New Roman"/>
          <w:sz w:val="20"/>
          <w:szCs w:val="20"/>
        </w:rPr>
        <w:t>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w:t>
      </w:r>
    </w:p>
    <w:p>
      <w:pPr>
        <w:pStyle w:val="Style17"/>
        <w:spacing w:lineRule="auto" w:line="240" w:before="0" w:after="0"/>
        <w:ind w:hanging="0" w:left="709"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1"/>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00" w:type="dxa"/>
        <w:jc w:val="left"/>
        <w:tblInd w:w="0" w:type="dxa"/>
        <w:tblLayout w:type="fixed"/>
        <w:tblCellMar>
          <w:top w:w="0" w:type="dxa"/>
          <w:left w:w="40" w:type="dxa"/>
          <w:bottom w:w="0" w:type="dxa"/>
          <w:right w:w="40" w:type="dxa"/>
        </w:tblCellMar>
      </w:tblPr>
      <w:tblGrid>
        <w:gridCol w:w="4484"/>
        <w:gridCol w:w="5015"/>
      </w:tblGrid>
      <w:tr>
        <w:trPr/>
        <w:tc>
          <w:tcPr>
            <w:tcW w:w="4484"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501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484"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Панасенко Александр Васильевич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16.01.1962</w:t>
              <w:br/>
              <w:t>Место рождения: с. Дивное Апанасенковского р-на Ставропольского края</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356712, Ставропольский край, Апанасенковский район,  с. Воздвиженское, ул. Комсомольская, д.32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156-862-833 08</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260200362499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Панасенко Александр Васильевич</w:t>
            </w:r>
          </w:p>
          <w:p>
            <w:pPr>
              <w:pStyle w:val="Normal"/>
              <w:bidi w:val="0"/>
              <w:spacing w:before="0" w:after="0"/>
              <w:contextualSpacing/>
              <w:jc w:val="left"/>
              <w:rPr>
                <w:rFonts w:ascii="Times New Roman" w:hAnsi="Times New Roman"/>
              </w:rPr>
            </w:pPr>
            <w:r>
              <w:rPr>
                <w:rFonts w:ascii="Times New Roman" w:hAnsi="Times New Roman"/>
              </w:rPr>
              <w:t>Счет Получателя: 40817810650203749229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501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484"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501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spacing w:lineRule="auto" w:line="240" w:before="0" w:after="0"/>
        <w:rPr>
          <w:rFonts w:ascii="Times New Roman" w:hAnsi="Times New Roman" w:cs="Times New Roman"/>
        </w:rPr>
      </w:pPr>
      <w:r>
        <w:rPr>
          <w:rFonts w:cs="Times New Roman" w:ascii="Times New Roman" w:hAnsi="Times New Roman"/>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Апанасенковский район,Ставропольский край</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Панасенко Александр Васильевич (дата рождения: 16.01.1962 г., место рождения: с. Дивное Апанасенковского р-на Ставропольского края, СНИЛС 156-862-833 08, ИНН 260200362499 , регистрация по месту жительства: с. Дивное Апанасенковского р-на Ставропольского края) в лице  в лице финансового управляющего: Коваленко Артём Сергеевич, действует на основании решения Арбитражный суд Ставропольского края от 21.07.2025г.  по делу №А63-9763/2025, с одной стороны, и</w:t>
      </w:r>
    </w:p>
    <w:p>
      <w:pPr>
        <w:pStyle w:val="Normal"/>
        <w:spacing w:lineRule="auto" w:line="240" w:before="0" w:after="0"/>
        <w:ind w:firstLine="709" w:left="0" w:right="0"/>
        <w:jc w:val="both"/>
        <w:rPr/>
      </w:pPr>
      <w:r>
        <w:rPr>
          <w:rFonts w:eastAsia="Times New Roman" w:cs="Times New Roman" w:ascii="Times New Roman" w:hAnsi="Times New Roman"/>
          <w:b/>
          <w:bCs/>
          <w:strike w:val="false"/>
          <w:dstrike w:val="false"/>
          <w:sz w:val="20"/>
          <w:szCs w:val="20"/>
          <w:lang w:val="ru-RU" w:eastAsia="ru-RU"/>
        </w:rPr>
        <w:t>Покупатель: </w:t>
      </w:r>
      <w:r>
        <w:rPr>
          <w:rFonts w:eastAsia="Times New Roman"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eastAsia="Times New Roman" w:cs="Times New Roman" w:ascii="Times New Roman" w:hAnsi="Times New Roman"/>
          <w:b w:val="false"/>
          <w:bCs w:val="false"/>
          <w:strike w:val="false"/>
          <w:dstrike w:val="false"/>
          <w:sz w:val="20"/>
          <w:szCs w:val="20"/>
          <w:lang w:eastAsia="ru-RU"/>
        </w:rPr>
        <w:t>с другой стороны, вместе именуемые «Стороны»</w:t>
      </w:r>
      <w:r>
        <w:rPr>
          <w:rFonts w:cs="Times New Roman" w:ascii="Times New Roman" w:hAnsi="Times New Roman"/>
          <w:b w:val="false"/>
          <w:bCs w:val="false"/>
          <w:strike w:val="false"/>
          <w:dstrike w:val="false"/>
          <w:sz w:val="20"/>
          <w:szCs w:val="20"/>
        </w:rPr>
        <w:t>,</w:t>
      </w:r>
      <w:r>
        <w:rPr>
          <w:rFonts w:cs="Times New Roman" w:ascii="Times New Roman" w:hAnsi="Times New Roman"/>
          <w:strike w:val="false"/>
          <w:dstrike w:val="false"/>
          <w:sz w:val="20"/>
          <w:szCs w:val="20"/>
        </w:rPr>
        <w:t xml:space="preserve"> заключили настоящий акт приема-передачи о нижеследующем:</w:t>
      </w:r>
    </w:p>
    <w:p>
      <w:pPr>
        <w:pStyle w:val="Style17"/>
        <w:spacing w:lineRule="auto" w:line="240" w:before="0" w:after="0"/>
        <w:ind w:firstLine="709" w:left="0" w:right="0"/>
        <w:contextualSpacing/>
        <w:jc w:val="both"/>
        <w:rPr>
          <w:rFonts w:ascii="Times New Roman" w:hAnsi="Times New Roman" w:cs="Times New Roman"/>
          <w:strike w:val="false"/>
          <w:dstrike w:val="false"/>
          <w:sz w:val="24"/>
          <w:szCs w:val="24"/>
        </w:rPr>
      </w:pPr>
      <w:r>
        <w:rPr>
          <w:rFonts w:cs="Times New Roman" w:ascii="Times New Roman" w:hAnsi="Times New Roman"/>
          <w:strike w:val="false"/>
          <w:dstrike w:val="false"/>
          <w:sz w:val="24"/>
          <w:szCs w:val="24"/>
        </w:rPr>
      </w:r>
    </w:p>
    <w:p>
      <w:pPr>
        <w:pStyle w:val="Style17"/>
        <w:numPr>
          <w:ilvl w:val="0"/>
          <w:numId w:val="2"/>
        </w:numPr>
        <w:spacing w:lineRule="auto" w:line="240" w:before="0" w:after="0"/>
        <w:ind w:firstLine="709" w:left="0" w:right="0"/>
        <w:contextualSpacing/>
        <w:jc w:val="both"/>
        <w:rPr/>
      </w:pPr>
      <w:r>
        <w:rPr>
          <w:rFonts w:eastAsia="Times New Roman" w:cs="Times New Roman" w:ascii="Times New Roman" w:hAnsi="Times New Roman"/>
          <w:sz w:val="20"/>
          <w:szCs w:val="20"/>
          <w:lang w:eastAsia="ru-RU"/>
        </w:rPr>
        <w:t xml:space="preserve">Во исполнение п. 2.1.2. Договора купли продажи от </w:t>
      </w:r>
      <w:r>
        <w:rPr>
          <w:rFonts w:eastAsia="Times New Roman" w:cs="Times New Roman" w:ascii="Times New Roman" w:hAnsi="Times New Roman"/>
          <w:color w:val="auto"/>
          <w:sz w:val="20"/>
          <w:szCs w:val="20"/>
          <w:lang w:val="ru-RU" w:eastAsia="ru-RU" w:bidi="ar-SA"/>
        </w:rPr>
        <w:t>___-___-_____г. </w:t>
      </w:r>
      <w:r>
        <w:rPr>
          <w:rFonts w:eastAsia="Times New Roman" w:cs="Times New Roman" w:ascii="Times New Roman" w:hAnsi="Times New Roman"/>
          <w:sz w:val="20"/>
          <w:szCs w:val="20"/>
          <w:lang w:eastAsia="ru-RU"/>
        </w:rPr>
        <w:t xml:space="preserve">(далее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numPr>
          <w:ilvl w:val="0"/>
          <w:numId w:val="0"/>
        </w:numPr>
        <w:spacing w:lineRule="auto" w:line="240" w:before="0" w:after="0"/>
        <w:ind w:hanging="0" w:left="1665"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374" w:type="dxa"/>
        <w:jc w:val="left"/>
        <w:tblInd w:w="0" w:type="dxa"/>
        <w:tblLayout w:type="fixed"/>
        <w:tblCellMar>
          <w:top w:w="55" w:type="dxa"/>
          <w:left w:w="55" w:type="dxa"/>
          <w:bottom w:w="55" w:type="dxa"/>
          <w:right w:w="55" w:type="dxa"/>
        </w:tblCellMar>
      </w:tblPr>
      <w:tblGrid>
        <w:gridCol w:w="1249"/>
        <w:gridCol w:w="8124"/>
      </w:tblGrid>
      <w:tr>
        <w:trPr/>
        <w:tc>
          <w:tcPr>
            <w:tcW w:w="1249"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4" w:type="dxa"/>
            <w:tcBorders>
              <w:top w:val="single" w:sz="2" w:space="0" w:color="000000"/>
              <w:left w:val="single" w:sz="2" w:space="0" w:color="000000"/>
              <w:bottom w:val="single" w:sz="2" w:space="0" w:color="000000"/>
              <w:right w:val="single" w:sz="2" w:space="0" w:color="000000"/>
            </w:tcBorders>
          </w:tcPr>
          <w:p>
            <w:pPr>
              <w:pStyle w:val="Style17"/>
              <w:widowControl w:val="false"/>
              <w:numPr>
                <w:ilvl w:val="0"/>
                <w:numId w:val="0"/>
              </w:numPr>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Доля в праве 2/4303 на земельный участок общей площадью 200 159 699.00 (+/- 124447) кв.м. Местоположение установлено относительноориентира, расположенного в границах участка.Почтовый адрес ориентира: пашня: секция 31 контур 22. Секция 17 контуры 400,40,37,17,20,14,11,8,5,1. Секция 19 контуры101,104,108,112,116,119,81,85,89,93,97.Секция 23 контуры 1. Секция 16 контуры 1,5,8,11,14,18,22,25,28,32,36,40,44. Секция 15 контуры 1,6,8,11,14,17,20,25,29,33,37,41,45,49. Секция 14 контуры 1,6,10,14,18,22,26,31,35,39,43,47,51,55.Секция 22 контуры 40,44,49,52,26,30,34,37,55,60,1,5,9,13,17,22,58,64.Секция 24 контуры 1,5,28. Секция 25 контур 1. Секция 23 контуры 20,6,24,14. Секция 23 контуры 29,32,34,36.Секция 24 контуры 44,49.Секция 32 контуры7,8,2,11,29,37.Секция 33 контур 9.Секция 40 контуры 12,9,6,1.Секция 36 контуры 91,80,75.Секция 40 контур 14.Секция 36 контуры 68,96,55,43,1.Секция 33 контуры15,18,21.Секция 32 контур55.Секция 33 контур1.Секция 32 контур 57.Секция 33 контур 4.Секция 32 контур 53.Секция 33 контур 2.Секция 29 контуры 44,46,50;пастбища: секция 3 контуры1,2,14,17,19,12,16,18,20,21,24,25,36,39,33,50,53,54,69,70,72,73,75,79,80.секция 4 контуры 1,3,4,5,9,15,18,32,29,33,35,36,48,42,58,59,61,64,67,70,73.Секция 5 контуры 9,11,14,17,20,23,26,33,28,30,36,41,43,49,44,61,65,72,68.Секция 6 контуры5,7,9,13,22,23,25,27,30,33,38,45,46,49,50,51,53,57,61,71,67,65,63,76,81,83,73.Секция 7 контуры1,3,6,8,180,18,19,21,24,29,30,32,53,51,54,35,33,50.Секция 9 контуры 56,57,58,64,63,70,67,68,81,87.Секция 10 контуры1,5,7,9,21,26,27,29,32,48,49,51,59,55,61.Секция 11 контуры1,2,4,10,20,22,26,30,53,89,87,42,43.Секция 13 контуры1,3,5,8,13,17,27,28,32,33,37,35,44,46,52,73,75,79,80,81,89,98,104,105,115,113.Секция 18 контуры9,26,28,33,36,40,44,47,48,49,51,54,56,59,63,65,71,80,82.Секция 21контуры13,1,15,130,17,19,35,30,36,38,39,41,45,47,49,57.Секция 41 контуры 29,71,74,86,89,93,95,99,101.Секция 35 контуры 1,4,5,17,24,28,34,37,40,45,49,51,55,58,63.Секция 37контуры 14,35,37,39,44,41,42,46,71,66,63,58,61.Секция 9 контур 53.Секция 41 контур 65, Апанасенковский район,Ставропольский край.Категория земель: земли сельскохозяйственного назначения. Вид разрешенного использования: для сельскохозяйственного производства.Имеется обременение в виде аренды.</w:t>
            </w:r>
          </w:p>
        </w:tc>
      </w:tr>
    </w:tbl>
    <w:p>
      <w:pPr>
        <w:pStyle w:val="Style17"/>
        <w:numPr>
          <w:ilvl w:val="0"/>
          <w:numId w:val="2"/>
        </w:numPr>
        <w:spacing w:lineRule="auto" w:line="240" w:before="0" w:after="0"/>
        <w:ind w:firstLine="709" w:left="0"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Продавец передал Покупателю все необходимые документы для государственной регистрации перехода права собственности на указанное Имущество.</w:t>
      </w:r>
    </w:p>
    <w:p>
      <w:pPr>
        <w:pStyle w:val="Style17"/>
        <w:numPr>
          <w:ilvl w:val="0"/>
          <w:numId w:val="2"/>
        </w:numPr>
        <w:spacing w:lineRule="auto" w:line="240" w:before="0" w:after="0"/>
        <w:ind w:firstLine="709" w:left="0"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Претензий к состоянию передаваемого Имущества Покупатель не имеет.</w:t>
      </w:r>
    </w:p>
    <w:p>
      <w:pPr>
        <w:pStyle w:val="Style17"/>
        <w:numPr>
          <w:ilvl w:val="0"/>
          <w:numId w:val="2"/>
        </w:numPr>
        <w:spacing w:lineRule="auto" w:line="240" w:before="0" w:after="0"/>
        <w:ind w:firstLine="709" w:left="0"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2"/>
        </w:numPr>
        <w:spacing w:lineRule="auto" w:line="240" w:before="0" w:after="0"/>
        <w:ind w:firstLine="709" w:left="0"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Настоящий акт составлен в трех экземплярах, имеющих одинаковую юридическую силу, по одному экземпляру для каждой из Сторон и экземпляр для Управления Федеральной службы государственной регистрации, кадастра и картографии.</w:t>
      </w:r>
    </w:p>
    <w:p>
      <w:pPr>
        <w:pStyle w:val="Style17"/>
        <w:numPr>
          <w:ilvl w:val="0"/>
          <w:numId w:val="0"/>
        </w:numPr>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688" w:type="dxa"/>
        <w:jc w:val="left"/>
        <w:tblInd w:w="0" w:type="dxa"/>
        <w:tblLayout w:type="fixed"/>
        <w:tblCellMar>
          <w:top w:w="0" w:type="dxa"/>
          <w:left w:w="40" w:type="dxa"/>
          <w:bottom w:w="0" w:type="dxa"/>
          <w:right w:w="40" w:type="dxa"/>
        </w:tblCellMar>
      </w:tblPr>
      <w:tblGrid>
        <w:gridCol w:w="4781"/>
        <w:gridCol w:w="4906"/>
      </w:tblGrid>
      <w:tr>
        <w:trPr/>
        <w:tc>
          <w:tcPr>
            <w:tcW w:w="4781"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90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767" w:hRule="atLeast"/>
        </w:trPr>
        <w:tc>
          <w:tcPr>
            <w:tcW w:w="4781"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Панасенко Александр Васильевич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16.01.1962</w:t>
              <w:br/>
              <w:t>Место рождения: с. Дивное Апанасенковского р-на Ставропольского края</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356712, Ставропольский край, Апанасенковский район,  с. Воздвиженское, ул. Комсомольская, д.32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156-862-833 08</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260200362499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90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781"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90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widowControl/>
        <w:bidi w:val="0"/>
        <w:spacing w:lineRule="auto" w:line="276" w:before="0" w:after="200"/>
        <w:rPr/>
      </w:pPr>
      <w:r>
        <w:rPr/>
      </w:r>
    </w:p>
    <w:p>
      <w:pPr>
        <w:pStyle w:val="Normal"/>
        <w:widowControl/>
        <w:bidi w:val="0"/>
        <w:spacing w:lineRule="auto" w:line="276" w:before="0" w:after="200"/>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0"/>
        <w:b/>
        <w:szCs w:val="20"/>
        <w:rFonts w:ascii="Times New Roman" w:hAnsi="Times New Roman" w:cs="Times New Roman"/>
      </w:rPr>
    </w:lvl>
    <w:lvl w:ilvl="1">
      <w:start w:val="1"/>
      <w:numFmt w:val="decimal"/>
      <w:lvlText w:val="%1.%2."/>
      <w:lvlJc w:val="left"/>
      <w:pPr>
        <w:tabs>
          <w:tab w:val="num" w:pos="0"/>
        </w:tabs>
        <w:ind w:left="720" w:hanging="360"/>
      </w:pPr>
      <w:rPr>
        <w:sz w:val="20"/>
        <w:i w:val="false"/>
        <w:szCs w:val="20"/>
        <w:bCs/>
        <w:rFonts w:ascii="Times New Roman" w:hAnsi="Times New Roman" w:cs="Times New Roman"/>
        <w:color w:val="000000"/>
      </w:rPr>
    </w:lvl>
    <w:lvl w:ilvl="2">
      <w:start w:val="1"/>
      <w:numFmt w:val="decimal"/>
      <w:lvlText w:val="%1.%2.%3."/>
      <w:lvlJc w:val="left"/>
      <w:pPr>
        <w:tabs>
          <w:tab w:val="num" w:pos="0"/>
        </w:tabs>
        <w:ind w:left="1080" w:hanging="720"/>
      </w:pPr>
      <w:rPr>
        <w:sz w:val="20"/>
        <w:b/>
        <w:szCs w:val="20"/>
        <w:rFonts w:ascii="Times New Roman" w:hAnsi="Times New Roman" w:cs="Times New Roman"/>
      </w:rPr>
    </w:lvl>
    <w:lvl w:ilvl="3">
      <w:start w:val="1"/>
      <w:numFmt w:val="decimal"/>
      <w:lvlText w:val="%1.%2.%3.%4."/>
      <w:lvlJc w:val="left"/>
      <w:pPr>
        <w:tabs>
          <w:tab w:val="num" w:pos="0"/>
        </w:tabs>
        <w:ind w:left="1080" w:hanging="720"/>
      </w:pPr>
      <w:rPr>
        <w:sz w:val="20"/>
        <w:b/>
        <w:szCs w:val="20"/>
        <w:rFonts w:ascii="Times New Roman" w:hAnsi="Times New Roman" w:cs="Times New Roman"/>
      </w:rPr>
    </w:lvl>
    <w:lvl w:ilvl="4">
      <w:start w:val="1"/>
      <w:numFmt w:val="decimal"/>
      <w:lvlText w:val="%1.%2.%3.%4.%5."/>
      <w:lvlJc w:val="left"/>
      <w:pPr>
        <w:tabs>
          <w:tab w:val="num" w:pos="0"/>
        </w:tabs>
        <w:ind w:left="1440" w:hanging="1080"/>
      </w:pPr>
      <w:rPr>
        <w:sz w:val="20"/>
        <w:b/>
        <w:szCs w:val="20"/>
        <w:rFonts w:ascii="Times New Roman" w:hAnsi="Times New Roman" w:cs="Times New Roman"/>
      </w:rPr>
    </w:lvl>
    <w:lvl w:ilvl="5">
      <w:start w:val="1"/>
      <w:numFmt w:val="decimal"/>
      <w:lvlText w:val="%1.%2.%3.%4.%5.%6."/>
      <w:lvlJc w:val="left"/>
      <w:pPr>
        <w:tabs>
          <w:tab w:val="num" w:pos="0"/>
        </w:tabs>
        <w:ind w:left="1440" w:hanging="1080"/>
      </w:pPr>
      <w:rPr>
        <w:sz w:val="20"/>
        <w:b/>
        <w:szCs w:val="20"/>
        <w:rFonts w:ascii="Times New Roman" w:hAnsi="Times New Roman" w:cs="Times New Roman"/>
      </w:rPr>
    </w:lvl>
    <w:lvl w:ilvl="6">
      <w:start w:val="1"/>
      <w:numFmt w:val="decimal"/>
      <w:lvlText w:val="%1.%2.%3.%4.%5.%6.%7."/>
      <w:lvlJc w:val="left"/>
      <w:pPr>
        <w:tabs>
          <w:tab w:val="num" w:pos="0"/>
        </w:tabs>
        <w:ind w:left="1800" w:hanging="1440"/>
      </w:pPr>
      <w:rPr>
        <w:sz w:val="20"/>
        <w:b/>
        <w:szCs w:val="20"/>
        <w:rFonts w:ascii="Times New Roman" w:hAnsi="Times New Roman" w:cs="Times New Roman"/>
      </w:rPr>
    </w:lvl>
    <w:lvl w:ilvl="7">
      <w:start w:val="1"/>
      <w:numFmt w:val="decimal"/>
      <w:lvlText w:val="%1.%2.%3.%4.%5.%6.%7.%8."/>
      <w:lvlJc w:val="left"/>
      <w:pPr>
        <w:tabs>
          <w:tab w:val="num" w:pos="0"/>
        </w:tabs>
        <w:ind w:left="1800" w:hanging="1440"/>
      </w:pPr>
      <w:rPr>
        <w:sz w:val="20"/>
        <w:b/>
        <w:szCs w:val="20"/>
        <w:rFonts w:ascii="Times New Roman" w:hAnsi="Times New Roman" w:cs="Times New Roman"/>
      </w:rPr>
    </w:lvl>
    <w:lvl w:ilvl="8">
      <w:start w:val="1"/>
      <w:numFmt w:val="decimal"/>
      <w:lvlText w:val="%1.%2.%3.%4.%5.%6.%7.%8.%9."/>
      <w:lvlJc w:val="left"/>
      <w:pPr>
        <w:tabs>
          <w:tab w:val="num" w:pos="0"/>
        </w:tabs>
        <w:ind w:left="2160" w:hanging="1800"/>
      </w:pPr>
      <w:rPr>
        <w:sz w:val="20"/>
        <w:b/>
        <w:szCs w:val="20"/>
        <w:rFonts w:ascii="Times New Roman" w:hAnsi="Times New Roman" w:cs="Times New Roman"/>
      </w:rPr>
    </w:lvl>
  </w:abstractNum>
  <w:abstractNum w:abstractNumId="2">
    <w:lvl w:ilvl="0">
      <w:start w:val="1"/>
      <w:numFmt w:val="decimal"/>
      <w:lvlText w:val="%1."/>
      <w:lvlJc w:val="left"/>
      <w:pPr>
        <w:tabs>
          <w:tab w:val="num" w:pos="0"/>
        </w:tabs>
        <w:ind w:left="1665" w:hanging="945"/>
      </w:pPr>
      <w:rPr>
        <w:sz w:val="20"/>
        <w:szCs w:val="20"/>
        <w:rFonts w:ascii="Times New Roman" w:hAnsi="Times New Roman" w:eastAsia="Times New Roman" w:cs="Times New Roman"/>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zh-CN" w:bidi="ar-SA"/>
    </w:rPr>
  </w:style>
  <w:style w:type="character" w:styleId="WW8Num1z0">
    <w:name w:val="WW8Num1z0"/>
    <w:qFormat/>
    <w:rPr>
      <w:rFonts w:ascii="Times New Roman" w:hAnsi="Times New Roman" w:cs="Times New Roman"/>
      <w:b/>
      <w:sz w:val="20"/>
      <w:szCs w:val="20"/>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Основной шрифт абзаца"/>
    <w:qFormat/>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74</TotalTime>
  <Application>LibreOffice/25.2.7.2$Windows_X86_64 LibreOffice_project/5cbfd1ab6520636bb5f7b99185aa69bd7456825d</Application>
  <AppVersion>15.0000</AppVersion>
  <Pages>5</Pages>
  <Words>1353</Words>
  <Characters>11559</Characters>
  <CharactersWithSpaces>12823</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2015-06-11T13:17:00Z</dcterms:created>
  <dc:creator>admin</dc:creator>
  <dc:description/>
  <dc:language>ru-RU</dc:language>
  <cp:lastModifiedBy/>
  <cp:lastPrinted>1995-11-21T17:41:00Z</cp:lastPrinted>
  <dcterms:modified xsi:type="dcterms:W3CDTF">2026-02-24T15:42:15Z</dcterms:modified>
  <cp:revision>34</cp:revision>
  <dc:subject/>
  <dc:title/>
</cp:coreProperties>
</file>