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О ЗАДАТКЕ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6680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6680"/>
        </w:tabs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 ___________</w:t>
      </w:r>
      <w:r>
        <w:rPr>
          <w:sz w:val="24"/>
          <w:szCs w:val="24"/>
        </w:rPr>
        <w:t xml:space="preserve">_  20</w:t>
      </w:r>
      <w:r>
        <w:rPr>
          <w:sz w:val="24"/>
          <w:szCs w:val="24"/>
        </w:rPr>
        <w:t xml:space="preserve">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Организатор торгов - </w:t>
      </w:r>
      <w:r>
        <w:rPr>
          <w:b/>
          <w:sz w:val="24"/>
          <w:szCs w:val="24"/>
        </w:rPr>
        <w:t xml:space="preserve">Конкурсный управляющий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общество с ограниченной ответственностью «Торговый Дом «Стройэлемент» (ИНН 7810855840 ОГРН 1127847050561, 196006, Санкт-Петербург, Лиговский пр-кт, д.266,лит. В, пом. 6.1-н, 152, оф. 6.4)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Попов Дмитрий Андреевич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ИНН 352510317400, СНИЛС 127-470-915 66, адрес для направления корреспонденции: 160004, Вологодская обл., г. Вологда, А/Я 1, эл.почта: Redxabk@yandex.ru, регистрационный номер в сводном государственном реестре арбитражных управля</w:t>
      </w:r>
      <w:r>
        <w:rPr>
          <w:sz w:val="24"/>
          <w:szCs w:val="24"/>
        </w:rPr>
        <w:t xml:space="preserve">ющих – 20923), член Ассоциации СОАУ «Меркурий» (ОГРН 1037710023108, ИНН 7710458616, 125047, г. Москва, ул. 4-я Тверская-Ямская, д.2/11, стр. 2)</w:t>
      </w:r>
      <w:r>
        <w:rPr>
          <w:sz w:val="24"/>
          <w:szCs w:val="24"/>
        </w:rPr>
        <w:t xml:space="preserve">, действующий на основании </w:t>
      </w:r>
      <w:r>
        <w:rPr>
          <w:sz w:val="24"/>
          <w:szCs w:val="24"/>
        </w:rPr>
        <w:t xml:space="preserve">решения Арбитражного суда города Санкт-Петербурга и Ленинградской области от 29.03.2024 по делу № А56-42574/2023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определения Арбитражного суда города Санкт-Петербурга и Ленинградской области от 09.05.2025 по делу № А56-42574/2023, </w:t>
      </w:r>
      <w:r>
        <w:rPr>
          <w:sz w:val="24"/>
          <w:szCs w:val="24"/>
        </w:rPr>
        <w:t xml:space="preserve">далее именуемый «Организатор торгов», с одной стороны и _____________________________, действующий на</w:t>
      </w:r>
      <w:r>
        <w:rPr>
          <w:sz w:val="24"/>
          <w:szCs w:val="24"/>
        </w:rPr>
        <w:t xml:space="preserve"> основании__________________</w:t>
      </w:r>
      <w:r>
        <w:rPr>
          <w:sz w:val="24"/>
          <w:szCs w:val="24"/>
        </w:rPr>
        <w:t xml:space="preserve">_____, именуемый далее «Претендент», с другой стороны, заключили настоящий договор о нижеследующем: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Для участия в торгах в форме </w:t>
      </w:r>
      <w:r>
        <w:rPr>
          <w:sz w:val="24"/>
          <w:szCs w:val="24"/>
        </w:rPr>
        <w:t xml:space="preserve">публичного предложения открытых по составу участников </w:t>
      </w:r>
      <w:r>
        <w:rPr>
          <w:sz w:val="24"/>
          <w:szCs w:val="24"/>
        </w:rPr>
        <w:t xml:space="preserve"> по продаже следующего имущества в соответствии с информационным сообщением №</w:t>
      </w:r>
      <w:r>
        <w:rPr>
          <w:sz w:val="24"/>
          <w:szCs w:val="24"/>
        </w:rPr>
        <w:t xml:space="preserve"> 22953394</w:t>
      </w:r>
      <w:r>
        <w:rPr>
          <w:sz w:val="24"/>
          <w:szCs w:val="24"/>
        </w:rPr>
        <w:t xml:space="preserve">, опубликованного </w:t>
      </w:r>
      <w:r>
        <w:rPr>
          <w:sz w:val="24"/>
          <w:szCs w:val="24"/>
        </w:rPr>
        <w:t xml:space="preserve">на сайте ЕФРСБ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jc w:val="center"/>
        <w:tblW w:w="10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367"/>
        <w:gridCol w:w="1973"/>
      </w:tblGrid>
      <w:tr>
        <w:trPr>
          <w:jc w:val="center"/>
          <w:trHeight w:val="244"/>
        </w:trPr>
        <w:tc>
          <w:tcPr>
            <w:tcBorders/>
            <w:tcW w:w="810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лота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67" w:type="dxa"/>
            <w:textDirection w:val="lrTb"/>
            <w:noWrap/>
          </w:tcPr>
          <w:p>
            <w:pPr>
              <w:pBdr/>
              <w:spacing/>
              <w:ind/>
              <w:contextualSpacing w:val="true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Имущества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973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Начальная цена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jc w:val="center"/>
          <w:trHeight w:val="244"/>
        </w:trPr>
        <w:tc>
          <w:tcPr>
            <w:tcBorders/>
            <w:tcW w:w="810" w:type="dxa"/>
            <w:textDirection w:val="lrTb"/>
            <w:noWrap w:val="false"/>
          </w:tcPr>
          <w:p>
            <w:pPr>
              <w:pBdr/>
              <w:spacing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67" w:type="dxa"/>
            <w:vAlign w:val="center"/>
            <w:textDirection w:val="lrTb"/>
            <w:noWrap/>
          </w:tcPr>
          <w:p>
            <w:pPr>
              <w:pStyle w:val="911"/>
              <w:pBdr/>
              <w:spacing/>
              <w:ind/>
              <w:jc w:val="both"/>
              <w:rPr/>
            </w:pPr>
            <w:r>
              <w:rPr>
                <w:sz w:val="24"/>
                <w:szCs w:val="24"/>
                <w:lang w:val="en-US"/>
              </w:rPr>
            </w:r>
            <w:r>
              <w:t xml:space="preserve">Дебиторская задолженность ООО «Торговый Дом «Стройэлемент»» (право требования), к Макарову Дмитрию Владимировичу в сумме 614 437,35 руб. Постановление Тринадцатого Арбитражного апелляционного суда по делу А42-10790/2023, исполнительный лист серия ФС № 0476</w:t>
            </w:r>
            <w:r>
              <w:t xml:space="preserve">88990 от 31.10.2024.</w:t>
            </w:r>
            <w:r/>
            <w:r/>
          </w:p>
        </w:tc>
        <w:tc>
          <w:tcPr>
            <w:tcBorders/>
            <w:tcW w:w="1973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 w:firstLine="0"/>
              <w:contextualSpacing w:val="true"/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  <w:t xml:space="preserve">614 437,35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Претендент </w:t>
      </w:r>
      <w:r>
        <w:rPr>
          <w:sz w:val="24"/>
          <w:szCs w:val="24"/>
        </w:rPr>
        <w:t xml:space="preserve">обязуется перечислить на </w:t>
      </w:r>
      <w:r>
        <w:rPr>
          <w:sz w:val="24"/>
          <w:szCs w:val="24"/>
        </w:rPr>
        <w:t xml:space="preserve">расчетный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счет</w:t>
      </w:r>
      <w:r>
        <w:rPr>
          <w:sz w:val="24"/>
          <w:szCs w:val="24"/>
        </w:rPr>
        <w:t xml:space="preserve"> Организатора торгов задаток</w:t>
      </w:r>
      <w:r>
        <w:rPr>
          <w:sz w:val="24"/>
          <w:szCs w:val="24"/>
        </w:rPr>
        <w:t xml:space="preserve"> - </w:t>
      </w:r>
      <w:r>
        <w:rPr>
          <w:b/>
          <w:color w:val="ff0000"/>
          <w:sz w:val="24"/>
          <w:szCs w:val="24"/>
        </w:rPr>
        <w:t xml:space="preserve">в размере 20 (Двадцать) % от цены продажи имущества (Лота) должника, установленной для периода торгов на котором подается заявка на участие в торгах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 лот № 1 в размере ______ (________________) руб.,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Организатор торгов обязуется принять данный задаток. Денежные средства, указанные в п.1.1. настоящего договора должны быть внесены Претендентом на </w:t>
      </w:r>
      <w:r>
        <w:rPr>
          <w:sz w:val="24"/>
          <w:szCs w:val="24"/>
        </w:rPr>
        <w:t xml:space="preserve">расчетный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счет</w:t>
      </w:r>
      <w:r>
        <w:rPr>
          <w:sz w:val="24"/>
          <w:szCs w:val="24"/>
        </w:rPr>
        <w:t xml:space="preserve"> одним платежом </w:t>
      </w:r>
      <w:r>
        <w:rPr>
          <w:sz w:val="24"/>
          <w:szCs w:val="24"/>
        </w:rPr>
        <w:t xml:space="preserve">по реквизитам, указанным в разд.5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 Сумма задатка вносится в </w:t>
      </w:r>
      <w:r>
        <w:rPr>
          <w:sz w:val="24"/>
          <w:szCs w:val="24"/>
        </w:rPr>
        <w:t xml:space="preserve">счет</w:t>
      </w:r>
      <w:r>
        <w:rPr>
          <w:sz w:val="24"/>
          <w:szCs w:val="24"/>
        </w:rPr>
        <w:t xml:space="preserve"> обеспечения обязательств Претендента, связанных с участием в торгах, в том числе по оплате </w:t>
      </w:r>
      <w:r>
        <w:rPr>
          <w:sz w:val="24"/>
          <w:szCs w:val="24"/>
        </w:rPr>
        <w:t xml:space="preserve">приобретенного</w:t>
      </w:r>
      <w:r>
        <w:rPr>
          <w:sz w:val="24"/>
          <w:szCs w:val="24"/>
        </w:rPr>
        <w:t xml:space="preserve"> имущества, в случае признания Претендента победителем торгов на условиях Положений </w:t>
      </w:r>
      <w:r>
        <w:rPr>
          <w:sz w:val="24"/>
          <w:szCs w:val="24"/>
        </w:rPr>
        <w:t xml:space="preserve">о порядке, сроках и условиях продажи имущества, Заявки на участие в торгах, поданной Претендентом. Отношения сторон по настоящему договору регулируется ст. ст. 448, 449 ГК РФ. В случае признания Претендента Победителем торгов сумма задатка засчитывается в </w:t>
      </w:r>
      <w:r>
        <w:rPr>
          <w:sz w:val="24"/>
          <w:szCs w:val="24"/>
        </w:rPr>
        <w:t xml:space="preserve">счет</w:t>
      </w:r>
      <w:r>
        <w:rPr>
          <w:sz w:val="24"/>
          <w:szCs w:val="24"/>
        </w:rPr>
        <w:t xml:space="preserve"> оплаты </w:t>
      </w:r>
      <w:r>
        <w:rPr>
          <w:sz w:val="24"/>
          <w:szCs w:val="24"/>
        </w:rPr>
        <w:t xml:space="preserve">приобретенного</w:t>
      </w:r>
      <w:r>
        <w:rPr>
          <w:sz w:val="24"/>
          <w:szCs w:val="24"/>
        </w:rPr>
        <w:t xml:space="preserve"> на торгах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2720"/>
        </w:tabs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Передача задатка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Претендент перечисляет или вносит задаток в срок, обеспечивающий поступление средств, не позднее последнего дня срока приема заявок, указанного в информационном сообщении о проведении торгов.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На денежные средства, переданные в соответствии с настоящим договором, проценты не начисляются.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540"/>
        </w:tabs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Возврат задатка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3540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Организатор торгов обязуется возвратить задаток Претенденту в </w:t>
      </w:r>
      <w:r>
        <w:rPr>
          <w:sz w:val="24"/>
          <w:szCs w:val="24"/>
        </w:rPr>
        <w:t xml:space="preserve">случаях, предусмотренных</w:t>
      </w:r>
      <w:r>
        <w:rPr>
          <w:sz w:val="24"/>
          <w:szCs w:val="24"/>
        </w:rPr>
        <w:t xml:space="preserve"> настоящим договором, на </w:t>
      </w:r>
      <w:r>
        <w:rPr>
          <w:sz w:val="24"/>
          <w:szCs w:val="24"/>
        </w:rPr>
        <w:t xml:space="preserve">расчетный</w:t>
      </w:r>
      <w:r>
        <w:rPr>
          <w:sz w:val="24"/>
          <w:szCs w:val="24"/>
        </w:rPr>
        <w:t xml:space="preserve"> (лицевой) </w:t>
      </w:r>
      <w:r>
        <w:rPr>
          <w:sz w:val="24"/>
          <w:szCs w:val="24"/>
        </w:rPr>
        <w:t xml:space="preserve">счет</w:t>
      </w:r>
      <w:r>
        <w:rPr>
          <w:sz w:val="24"/>
          <w:szCs w:val="24"/>
        </w:rPr>
        <w:t xml:space="preserve"> Претендента – на основании «Заявления о возврате задатка»</w:t>
      </w:r>
      <w:r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 течение 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 рабочих дней со дня его получения</w:t>
      </w:r>
      <w:r>
        <w:rPr>
          <w:sz w:val="24"/>
          <w:szCs w:val="24"/>
        </w:rPr>
        <w:t xml:space="preserve">, в случаях: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540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</w:t>
      </w:r>
      <w:r>
        <w:rPr>
          <w:sz w:val="24"/>
          <w:szCs w:val="24"/>
        </w:rPr>
        <w:t xml:space="preserve"> отказа Претенденту в участии в Торгах;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540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</w:t>
      </w:r>
      <w:r>
        <w:rPr>
          <w:sz w:val="24"/>
          <w:szCs w:val="24"/>
        </w:rPr>
        <w:t xml:space="preserve">непризнания Участника торгов Победителем торгов;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540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>
        <w:rPr>
          <w:sz w:val="24"/>
          <w:szCs w:val="24"/>
        </w:rPr>
        <w:t xml:space="preserve">Задаток не возвращается в случае: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540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отказа или уклонения Победителя торгов от подписания Протокола о ходе и результатах торгов;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540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отказа или уклонения Победителя торгов от подписания Договора купли-купли имущества, выставленного на Торги;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540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неоплаты Победителем торгов имущества в установленный Договором купли-продажи срок.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540"/>
        </w:tabs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Иные условия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Настоящий договор вступает в силу с момента его подписания сторонами и прекращает действие надлежащим исполнением.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Споры, возникшие в результате действия </w:t>
      </w:r>
      <w:r>
        <w:rPr>
          <w:sz w:val="24"/>
          <w:szCs w:val="24"/>
        </w:rPr>
        <w:t xml:space="preserve">настоящего договора</w:t>
      </w:r>
      <w:r>
        <w:rPr>
          <w:sz w:val="24"/>
          <w:szCs w:val="24"/>
        </w:rPr>
        <w:t xml:space="preserve">, разрешаются в установленном порядке судом, находящимся по территориальности в городе Вологде (договорная подсудность).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Настоящий договор составлен в 2 (двух) экземплярах, имеющих одинаковую юридическую силу, </w:t>
      </w:r>
      <w:r>
        <w:rPr>
          <w:sz w:val="24"/>
          <w:szCs w:val="24"/>
        </w:rPr>
        <w:t xml:space="preserve">причем</w:t>
      </w:r>
      <w:r>
        <w:rPr>
          <w:sz w:val="24"/>
          <w:szCs w:val="24"/>
        </w:rPr>
        <w:t xml:space="preserve"> один экземпляр находится у Организатора торгов и один у Претендента.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760"/>
        </w:tabs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3760"/>
        </w:tabs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Реквизиты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909"/>
        <w:tblW w:w="10199" w:type="dxa"/>
        <w:tblBorders/>
        <w:tblLook w:val="04A0" w:firstRow="1" w:lastRow="0" w:firstColumn="1" w:lastColumn="0" w:noHBand="0" w:noVBand="1"/>
      </w:tblPr>
      <w:tblGrid>
        <w:gridCol w:w="5099"/>
        <w:gridCol w:w="5100"/>
      </w:tblGrid>
      <w:tr>
        <w:trPr>
          <w:trHeight w:val="2335"/>
        </w:trPr>
        <w:tc>
          <w:tcPr>
            <w:tcBorders/>
            <w:tcW w:w="5099" w:type="dxa"/>
            <w:textDirection w:val="lrTb"/>
            <w:noWrap w:val="false"/>
          </w:tcPr>
          <w:p>
            <w:pPr>
              <w:pBdr/>
              <w:tabs>
                <w:tab w:val="left" w:leader="none" w:pos="3760"/>
              </w:tabs>
              <w:spacing/>
              <w:ind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</w:rPr>
              <w:t xml:space="preserve">Организатор торгов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Bdr/>
              <w:tabs>
                <w:tab w:val="left" w:leader="none" w:pos="3760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Конкурсный управляющий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общества с ограниченной ответственностью </w:t>
            </w:r>
            <w:r>
              <w:rPr>
                <w:sz w:val="24"/>
                <w:szCs w:val="24"/>
              </w:rPr>
              <w:t xml:space="preserve">«Торговый Дом «Стройэлемент» (ИНН 7810855840 ОГРН 1127847050561, 196006, Санкт-Петербург, Лиговский пр-кт, д.266,лит. В, пом. 6.1-н, 152, оф. 6.4)</w:t>
            </w:r>
            <w:r>
              <w:rPr>
                <w:sz w:val="24"/>
                <w:szCs w:val="24"/>
              </w:rPr>
              <w:t xml:space="preserve"> Попов Дмитрий Андреевич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760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760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Банковские реквизиты: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760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Наименование получателя: </w:t>
            </w:r>
            <w:r>
              <w:rPr>
                <w:sz w:val="24"/>
                <w:szCs w:val="24"/>
              </w:rPr>
              <w:t xml:space="preserve">ООО «ТДС», ИНН: 7810855840, КПП: 781001001, ОГРН: 1127847050561, расчётный счёт: 40702810200770001618, Банк: ПАО "БАНК УРАЛСИБ", БИК: 044525787, Корр. счёт банка:30101810100000000787, ИНН банка: 0274062111, КПП банка: 997950001.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1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Претендент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tabs>
                <w:tab w:val="left" w:leader="none" w:pos="3760"/>
              </w:tabs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_GoBack"/>
            <w:r>
              <w:rPr>
                <w:sz w:val="24"/>
                <w:szCs w:val="24"/>
              </w:rPr>
            </w:r>
            <w:bookmarkEnd w:id="0"/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08"/>
        </w:trPr>
        <w:tc>
          <w:tcPr>
            <w:tcBorders/>
            <w:tcW w:w="5099" w:type="dxa"/>
            <w:textDirection w:val="lrTb"/>
            <w:noWrap w:val="false"/>
          </w:tcPr>
          <w:p>
            <w:pPr>
              <w:pBdr/>
              <w:tabs>
                <w:tab w:val="left" w:leader="none" w:pos="3760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760"/>
              </w:tabs>
              <w:spacing/>
              <w: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Д.А. Попов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760"/>
              </w:tabs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5100" w:type="dxa"/>
            <w:textDirection w:val="lrTb"/>
            <w:noWrap w:val="false"/>
          </w:tcPr>
          <w:p>
            <w:pPr>
              <w:pBdr/>
              <w:tabs>
                <w:tab w:val="left" w:leader="none" w:pos="3760"/>
              </w:tabs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jc w:val="lef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sectPr>
      <w:headerReference w:type="default" r:id="rId9"/>
      <w:footnotePr/>
      <w:endnotePr/>
      <w:type w:val="nextPage"/>
      <w:pgSz w:h="16838" w:orient="portrait" w:w="11906"/>
      <w:pgMar w:top="426" w:right="707" w:bottom="709" w:left="993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80"/>
        </w:tabs>
        <w:spacing/>
        <w:ind w:hanging="780" w:left="780"/>
      </w:pPr>
      <w:rPr/>
      <w:start w:val="3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780"/>
        </w:tabs>
        <w:spacing/>
        <w:ind w:hanging="780" w:left="780"/>
      </w:pPr>
      <w:rPr/>
      <w:start w:val="2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780"/>
        </w:tabs>
        <w:spacing/>
        <w:ind w:hanging="780" w:left="780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/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945"/>
        </w:tabs>
        <w:spacing/>
        <w:ind w:hanging="945" w:left="945"/>
      </w:pPr>
      <w:rPr/>
      <w:start w:val="3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945"/>
        </w:tabs>
        <w:spacing/>
        <w:ind w:hanging="945" w:left="945"/>
      </w:pPr>
      <w:rPr/>
      <w:start w:val="3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945"/>
        </w:tabs>
        <w:spacing/>
        <w:ind w:hanging="945" w:left="945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/>
      <w:start w:val="1"/>
      <w:suff w:val="space"/>
    </w:lvl>
  </w:abstractNum>
  <w:abstractNum w:abstractNumId="3"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3"/>
      <w:suff w:val="space"/>
    </w:lvl>
    <w:lvl w:ilvl="1">
      <w:isLgl w:val="false"/>
      <w:lvlJc w:val="left"/>
      <w:lvlText w:val="%1.%2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3"/>
      <w:suff w:val="space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2160"/>
        </w:tabs>
        <w:spacing/>
        <w:ind w:hanging="2160" w:left="2160"/>
      </w:pPr>
      <w:rPr/>
      <w:start w:val="1"/>
      <w:suff w:val="space"/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Placeholder Text"/>
    <w:basedOn w:val="904"/>
    <w:uiPriority w:val="99"/>
    <w:semiHidden/>
    <w:pPr>
      <w:pBdr/>
      <w:spacing/>
      <w:ind/>
    </w:pPr>
    <w:rPr>
      <w:color w:val="666666"/>
    </w:rPr>
  </w:style>
  <w:style w:type="character" w:styleId="720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1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2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3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4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5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6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7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8">
    <w:name w:val="Heading 1"/>
    <w:basedOn w:val="903"/>
    <w:next w:val="903"/>
    <w:link w:val="7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basedOn w:val="904"/>
    <w:link w:val="7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903"/>
    <w:next w:val="903"/>
    <w:link w:val="7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basedOn w:val="904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2">
    <w:name w:val="Heading 3"/>
    <w:basedOn w:val="903"/>
    <w:next w:val="903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4"/>
    <w:link w:val="7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903"/>
    <w:next w:val="903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4"/>
    <w:link w:val="7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3"/>
    <w:next w:val="903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4"/>
    <w:link w:val="7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3"/>
    <w:next w:val="903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4"/>
    <w:link w:val="7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3"/>
    <w:next w:val="903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4"/>
    <w:link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3"/>
    <w:next w:val="903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4"/>
    <w:link w:val="7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3"/>
    <w:next w:val="903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4"/>
    <w:link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6">
    <w:name w:val="No Spacing"/>
    <w:uiPriority w:val="1"/>
    <w:qFormat/>
    <w:pPr>
      <w:pBdr/>
      <w:spacing w:after="0" w:before="0" w:line="240" w:lineRule="auto"/>
      <w:ind/>
    </w:pPr>
  </w:style>
  <w:style w:type="paragraph" w:styleId="747">
    <w:name w:val="Title"/>
    <w:basedOn w:val="903"/>
    <w:next w:val="903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4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3"/>
    <w:next w:val="903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4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3"/>
    <w:next w:val="903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3"/>
    <w:next w:val="903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3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4"/>
    <w:link w:val="755"/>
    <w:uiPriority w:val="99"/>
    <w:pPr>
      <w:pBdr/>
      <w:spacing/>
      <w:ind/>
    </w:pPr>
  </w:style>
  <w:style w:type="paragraph" w:styleId="757">
    <w:name w:val="Footer"/>
    <w:basedOn w:val="903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4"/>
    <w:link w:val="757"/>
    <w:uiPriority w:val="99"/>
    <w:pPr>
      <w:pBdr/>
      <w:spacing/>
      <w:ind/>
    </w:pPr>
  </w:style>
  <w:style w:type="paragraph" w:styleId="759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default="1">
    <w:name w:val="Default Paragraph Font"/>
    <w:uiPriority w:val="1"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character" w:styleId="907">
    <w:name w:val="Hyperlink"/>
    <w:basedOn w:val="904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8">
    <w:name w:val="List Paragraph"/>
    <w:basedOn w:val="903"/>
    <w:uiPriority w:val="34"/>
    <w:qFormat/>
    <w:pPr>
      <w:pBdr/>
      <w:spacing/>
      <w:ind w:left="720"/>
      <w:contextualSpacing w:val="true"/>
    </w:pPr>
  </w:style>
  <w:style w:type="table" w:styleId="909">
    <w:name w:val="Table Grid"/>
    <w:basedOn w:val="90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0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1" w:customStyle="1">
    <w:name w:val="Default"/>
    <w:pPr>
      <w:pBdr/>
      <w:spacing w:after="0" w:line="240" w:lineRule="auto"/>
      <w:ind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51</cp:revision>
  <dcterms:created xsi:type="dcterms:W3CDTF">2017-02-16T12:55:00Z</dcterms:created>
  <dcterms:modified xsi:type="dcterms:W3CDTF">2026-05-20T07:35:07Z</dcterms:modified>
</cp:coreProperties>
</file>