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277D02">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10F2D366"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6175D5">
        <w:rPr>
          <w:b/>
          <w:bCs/>
        </w:rPr>
        <w:t>22 июня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5B373746" w:rsidR="00590530" w:rsidRPr="004A778E" w:rsidRDefault="00590530" w:rsidP="00590530">
      <w:pPr>
        <w:suppressAutoHyphens/>
        <w:jc w:val="center"/>
        <w:rPr>
          <w:b/>
          <w:bCs/>
        </w:rPr>
      </w:pPr>
      <w:r w:rsidRPr="004A778E">
        <w:rPr>
          <w:b/>
          <w:bCs/>
        </w:rPr>
        <w:t xml:space="preserve">Прием заявок с </w:t>
      </w:r>
      <w:r w:rsidR="006175D5">
        <w:rPr>
          <w:b/>
          <w:bCs/>
        </w:rPr>
        <w:t>20.05</w:t>
      </w:r>
      <w:r w:rsidR="006C49EA">
        <w:rPr>
          <w:b/>
          <w:bCs/>
        </w:rPr>
        <w:t>.2026</w:t>
      </w:r>
      <w:r w:rsidRPr="004A778E">
        <w:rPr>
          <w:b/>
          <w:bCs/>
        </w:rPr>
        <w:t xml:space="preserve"> по</w:t>
      </w:r>
      <w:r w:rsidR="00BC6C60" w:rsidRPr="004A778E">
        <w:rPr>
          <w:b/>
          <w:bCs/>
        </w:rPr>
        <w:t xml:space="preserve"> </w:t>
      </w:r>
      <w:r w:rsidR="006175D5">
        <w:rPr>
          <w:b/>
          <w:bCs/>
        </w:rPr>
        <w:t>18.06</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0F4B47B7"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6175D5">
        <w:rPr>
          <w:b/>
          <w:bCs/>
        </w:rPr>
        <w:t>18.06</w:t>
      </w:r>
      <w:r w:rsidR="006C49EA">
        <w:rPr>
          <w:b/>
          <w:bCs/>
        </w:rPr>
        <w:t>.2026</w:t>
      </w:r>
      <w:r w:rsidRPr="004A778E">
        <w:rPr>
          <w:b/>
          <w:bCs/>
        </w:rPr>
        <w:t>.</w:t>
      </w:r>
    </w:p>
    <w:p w14:paraId="5F599D7E" w14:textId="3BCDB468"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6175D5">
        <w:rPr>
          <w:b/>
          <w:bCs/>
        </w:rPr>
        <w:t>19.06</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6B33081B"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E94519">
        <w:t>П</w:t>
      </w:r>
      <w:r w:rsidR="00E94519" w:rsidRPr="00E94519">
        <w:t xml:space="preserve">омещение, площадь: 340,3 кв. м, назначение: нежилое, номер, тип этажа, на котором расположено помещение: Этаж №1, расположенное по адресу: Саратовская область, г. Саратов, ул. 2-я Садовая, д.23А, кадастровый номер 64:48:050389:377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58246E52" w14:textId="5C13B111" w:rsidR="005437BC" w:rsidRDefault="005437BC" w:rsidP="005437BC">
      <w:pPr>
        <w:pStyle w:val="af1"/>
        <w:jc w:val="both"/>
      </w:pPr>
      <w:r w:rsidRPr="00C75D92">
        <w:rPr>
          <w:b/>
          <w:bCs/>
        </w:rPr>
        <w:t>Отлагательное условие по передаче Объект</w:t>
      </w:r>
      <w:r w:rsidR="009D2A6F">
        <w:rPr>
          <w:b/>
          <w:bCs/>
        </w:rPr>
        <w:t>а</w:t>
      </w:r>
      <w:r w:rsidRPr="00C75D92">
        <w:rPr>
          <w:b/>
          <w:bCs/>
        </w:rPr>
        <w:t>:</w:t>
      </w:r>
      <w:r w:rsidRPr="00C75D92">
        <w:t xml:space="preserve"> </w:t>
      </w:r>
      <w:bookmarkStart w:id="1"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rsidR="00E94519">
        <w:t>15</w:t>
      </w:r>
      <w:r w:rsidR="00B268A5">
        <w:t>.07</w:t>
      </w:r>
      <w:r w:rsidRPr="00C75D92">
        <w:t>.202</w:t>
      </w:r>
      <w:r>
        <w:t>6</w:t>
      </w:r>
      <w:r w:rsidRPr="00C75D92">
        <w:t xml:space="preserve"> г. </w:t>
      </w:r>
      <w:bookmarkEnd w:id="1"/>
      <w:r>
        <w:t>Арендодатель</w:t>
      </w:r>
      <w:r w:rsidRPr="00CA6025">
        <w:t xml:space="preserve"> имеет право увеличить в одностороннем порядке срок передачи Объект</w:t>
      </w:r>
      <w:r w:rsidR="00CF68FA">
        <w:t>а</w:t>
      </w:r>
      <w:r w:rsidRPr="00CA6025">
        <w:t xml:space="preserve"> на срок не более 2 (Двух) месяцев без применения каких-либо штрафных санкций со стороны Арендатора.</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2" w:name="_Hlk124271753"/>
      <w:bookmarkStart w:id="3"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14AE2808" w:rsidR="00186489" w:rsidRPr="005614EB" w:rsidRDefault="006175D5" w:rsidP="00186489">
      <w:pPr>
        <w:ind w:right="-57"/>
        <w:jc w:val="center"/>
        <w:rPr>
          <w:b/>
        </w:rPr>
      </w:pPr>
      <w:r w:rsidRPr="006175D5">
        <w:rPr>
          <w:b/>
        </w:rPr>
        <w:t xml:space="preserve">256 528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2"/>
    <w:p w14:paraId="231ED04C" w14:textId="5ADDDF86" w:rsidR="00186489" w:rsidRPr="005614EB" w:rsidRDefault="00186489" w:rsidP="00186489">
      <w:pPr>
        <w:ind w:right="-57"/>
        <w:jc w:val="center"/>
        <w:rPr>
          <w:b/>
        </w:rPr>
      </w:pPr>
      <w:r w:rsidRPr="005614EB">
        <w:rPr>
          <w:b/>
        </w:rPr>
        <w:t xml:space="preserve">Сумма задатка – </w:t>
      </w:r>
      <w:r w:rsidR="006175D5" w:rsidRPr="006175D5">
        <w:rPr>
          <w:b/>
        </w:rPr>
        <w:t xml:space="preserve">256 528 </w:t>
      </w:r>
      <w:r w:rsidRPr="00580273">
        <w:rPr>
          <w:b/>
        </w:rPr>
        <w:t>рубл</w:t>
      </w:r>
      <w:r w:rsidR="007D5A13">
        <w:rPr>
          <w:b/>
        </w:rPr>
        <w:t>ей</w:t>
      </w:r>
      <w:r w:rsidRPr="00580273">
        <w:rPr>
          <w:b/>
        </w:rPr>
        <w:t xml:space="preserve"> 00 копеек</w:t>
      </w:r>
      <w:r>
        <w:rPr>
          <w:b/>
        </w:rPr>
        <w:t>.</w:t>
      </w:r>
    </w:p>
    <w:p w14:paraId="7029C428" w14:textId="756916C1"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3154DA" w:rsidRPr="003154DA">
        <w:rPr>
          <w:b/>
        </w:rPr>
        <w:t xml:space="preserve">25 652 </w:t>
      </w:r>
      <w:r w:rsidRPr="00DA3288">
        <w:rPr>
          <w:b/>
        </w:rPr>
        <w:t>руб</w:t>
      </w:r>
      <w:r>
        <w:rPr>
          <w:b/>
        </w:rPr>
        <w:t>л</w:t>
      </w:r>
      <w:r w:rsidR="003154DA">
        <w:rPr>
          <w:b/>
        </w:rPr>
        <w:t>я</w:t>
      </w:r>
      <w:r w:rsidRPr="00DA3288">
        <w:rPr>
          <w:b/>
        </w:rPr>
        <w:t xml:space="preserve"> </w:t>
      </w:r>
      <w:r w:rsidR="003154DA">
        <w:rPr>
          <w:b/>
        </w:rPr>
        <w:t>8</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3"/>
    <w:p w14:paraId="01574291" w14:textId="77777777" w:rsidR="00F42442" w:rsidRDefault="00F42442" w:rsidP="00F42442">
      <w:pPr>
        <w:ind w:right="-57"/>
        <w:rPr>
          <w:b/>
        </w:rPr>
      </w:pPr>
      <w:r w:rsidRPr="00D17760">
        <w:rPr>
          <w:b/>
        </w:rPr>
        <w:t>Имущество находится на торгах по продаже.</w:t>
      </w:r>
      <w:r>
        <w:rPr>
          <w:b/>
        </w:rPr>
        <w:t xml:space="preserve"> </w:t>
      </w:r>
    </w:p>
    <w:p w14:paraId="57E8B9FC" w14:textId="77777777" w:rsidR="00F42442" w:rsidRPr="00F42442" w:rsidRDefault="00F42442" w:rsidP="002927B9">
      <w:pPr>
        <w:ind w:right="-57" w:firstLine="708"/>
        <w:jc w:val="both"/>
        <w:rPr>
          <w:sz w:val="10"/>
          <w:szCs w:val="10"/>
        </w:rPr>
      </w:pPr>
    </w:p>
    <w:p w14:paraId="5AA2D09C" w14:textId="2E88F9ED"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43841C33"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1625A769"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9443F5">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009443F5" w:rsidRPr="009443F5">
        <w:t xml:space="preserve"> </w:t>
      </w:r>
      <w:r w:rsidR="009443F5" w:rsidRPr="009443F5">
        <w:t>продажи государственного или муниципального имущества</w:t>
      </w:r>
      <w:r w:rsidRPr="00CC548C">
        <w:t>)</w:t>
      </w:r>
      <w:bookmarkEnd w:id="4"/>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3BF76E25" w14:textId="77777777" w:rsidR="009443F5" w:rsidRPr="007E1ACC" w:rsidRDefault="009443F5" w:rsidP="007E1ACC">
      <w:pPr>
        <w:ind w:firstLine="720"/>
        <w:jc w:val="both"/>
        <w:rPr>
          <w:b/>
          <w:bCs/>
        </w:rPr>
      </w:pPr>
    </w:p>
    <w:p w14:paraId="015D3CBA" w14:textId="77777777" w:rsidR="00F94D81" w:rsidRPr="00CC548C" w:rsidRDefault="00F94D81" w:rsidP="00B268A5">
      <w:pPr>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w:t>
      </w:r>
      <w:r w:rsidRPr="00CC548C">
        <w:rPr>
          <w:rFonts w:ascii="Times New Roman" w:hAnsi="Times New Roman" w:cs="Times New Roman"/>
          <w:color w:val="auto"/>
          <w:sz w:val="24"/>
          <w:szCs w:val="24"/>
        </w:rPr>
        <w:lastRenderedPageBreak/>
        <w:t>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F189FCF"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7044E5">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5"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lastRenderedPageBreak/>
        <w:t xml:space="preserve">- </w:t>
      </w:r>
      <w:bookmarkStart w:id="6"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7"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7"/>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w:t>
      </w:r>
      <w:r w:rsidRPr="00CC548C">
        <w:lastRenderedPageBreak/>
        <w:t xml:space="preserve">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246A30BA"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7044E5">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B268A5">
      <w:pPr>
        <w:jc w:val="center"/>
        <w:rPr>
          <w:b/>
        </w:rPr>
      </w:pPr>
      <w:r w:rsidRPr="00CC548C">
        <w:rPr>
          <w:b/>
        </w:rPr>
        <w:t>Порядок проведения электронного аукциона:</w:t>
      </w:r>
    </w:p>
    <w:p w14:paraId="49185507" w14:textId="2FB9BC14"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9443F5" w:rsidRPr="009443F5">
        <w:t>продажи государственного или муниципального имущества</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8"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9" w:name="_Hlk520414660"/>
      <w:bookmarkEnd w:id="8"/>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9"/>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 xml:space="preserve">г. Саратов, ул. Вавилова, д. 1/7, тел. +7 927-100-53-80 </w:t>
      </w:r>
      <w:proofErr w:type="spellStart"/>
      <w:r w:rsidR="00B33840" w:rsidRPr="00B33840">
        <w:rPr>
          <w:bCs/>
        </w:rPr>
        <w:t>Пинюгина</w:t>
      </w:r>
      <w:proofErr w:type="spellEnd"/>
      <w:r w:rsidR="00B33840" w:rsidRPr="00B33840">
        <w:rPr>
          <w:bCs/>
        </w:rPr>
        <w:t xml:space="preserve">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0"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1" w:name="_Hlk103168866"/>
      <w:r w:rsidRPr="00CC548C">
        <w:rPr>
          <w:b/>
        </w:rPr>
        <w:t xml:space="preserve">15 (пятнадцати) </w:t>
      </w:r>
      <w:bookmarkEnd w:id="11"/>
      <w:r w:rsidRPr="00CC548C">
        <w:rPr>
          <w:b/>
        </w:rPr>
        <w:t xml:space="preserve">рабочих дней с даты признания аукциона несостоявшимся. </w:t>
      </w:r>
    </w:p>
    <w:bookmarkEnd w:id="10"/>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277D02">
          <w:pgSz w:w="11906" w:h="16838"/>
          <w:pgMar w:top="567" w:right="566" w:bottom="284" w:left="709"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2" w:name="_Hlk99543597"/>
      <w:r w:rsidRPr="00CC548C">
        <w:rPr>
          <w:b/>
          <w:spacing w:val="26"/>
          <w:sz w:val="22"/>
          <w:szCs w:val="22"/>
        </w:rPr>
        <w:lastRenderedPageBreak/>
        <w:t>ЗАВЕРЕНИЕ КОНТРАГЕНТА ФИЗИЧЕСКОГО ЛИЦА</w:t>
      </w:r>
    </w:p>
    <w:bookmarkEnd w:id="12"/>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2A4F"/>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77D02"/>
    <w:rsid w:val="00280270"/>
    <w:rsid w:val="00281A25"/>
    <w:rsid w:val="00282C28"/>
    <w:rsid w:val="00283330"/>
    <w:rsid w:val="00283C70"/>
    <w:rsid w:val="00283EDE"/>
    <w:rsid w:val="0028565D"/>
    <w:rsid w:val="002862B9"/>
    <w:rsid w:val="00286931"/>
    <w:rsid w:val="002871E1"/>
    <w:rsid w:val="00287898"/>
    <w:rsid w:val="00287A63"/>
    <w:rsid w:val="00290800"/>
    <w:rsid w:val="002912D2"/>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54DA"/>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394A"/>
    <w:rsid w:val="004C7115"/>
    <w:rsid w:val="004D050E"/>
    <w:rsid w:val="004D05CA"/>
    <w:rsid w:val="004D1253"/>
    <w:rsid w:val="004D216C"/>
    <w:rsid w:val="004D36B3"/>
    <w:rsid w:val="004D649E"/>
    <w:rsid w:val="004E1BD8"/>
    <w:rsid w:val="004E318E"/>
    <w:rsid w:val="004E42A7"/>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175D5"/>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4E5"/>
    <w:rsid w:val="00704766"/>
    <w:rsid w:val="00710186"/>
    <w:rsid w:val="00712F40"/>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247A"/>
    <w:rsid w:val="00935216"/>
    <w:rsid w:val="009374BB"/>
    <w:rsid w:val="00937E0E"/>
    <w:rsid w:val="00940FCC"/>
    <w:rsid w:val="00941FE2"/>
    <w:rsid w:val="009443F5"/>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68A5"/>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3A35"/>
    <w:rsid w:val="00CF68FA"/>
    <w:rsid w:val="00D00DF5"/>
    <w:rsid w:val="00D037A0"/>
    <w:rsid w:val="00D03AB2"/>
    <w:rsid w:val="00D0467F"/>
    <w:rsid w:val="00D058EE"/>
    <w:rsid w:val="00D05E4D"/>
    <w:rsid w:val="00D0749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B33"/>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4519"/>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4F74"/>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442"/>
    <w:rsid w:val="00F42505"/>
    <w:rsid w:val="00F42875"/>
    <w:rsid w:val="00F42E9B"/>
    <w:rsid w:val="00F44110"/>
    <w:rsid w:val="00F45D72"/>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4534</Words>
  <Characters>31419</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35882</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6</cp:revision>
  <cp:lastPrinted>2023-07-28T10:21:00Z</cp:lastPrinted>
  <dcterms:created xsi:type="dcterms:W3CDTF">2026-05-19T11:05:00Z</dcterms:created>
  <dcterms:modified xsi:type="dcterms:W3CDTF">2026-05-19T11:11:00Z</dcterms:modified>
</cp:coreProperties>
</file>