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E6F158B" w14:textId="0FADA754" w:rsidR="006708B4" w:rsidRPr="006708B4" w:rsidRDefault="001E23A4" w:rsidP="006708B4">
      <w:pPr>
        <w:jc w:val="center"/>
        <w:rPr>
          <w:rFonts w:eastAsia="Times New Roman"/>
          <w:b/>
          <w:bCs/>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8D5FC8" w:rsidRPr="006708B4">
        <w:rPr>
          <w:b/>
          <w:bCs/>
        </w:rPr>
        <w:t>:</w:t>
      </w:r>
      <w:r w:rsidR="00B34359" w:rsidRPr="006708B4">
        <w:rPr>
          <w:rFonts w:eastAsia="Times New Roman"/>
          <w:b/>
        </w:rPr>
        <w:t xml:space="preserve"> </w:t>
      </w:r>
      <w:r w:rsidR="006708B4" w:rsidRPr="006708B4">
        <w:rPr>
          <w:rFonts w:eastAsia="Times New Roman"/>
          <w:b/>
          <w:bCs/>
        </w:rPr>
        <w:t xml:space="preserve">Кемеровская область, Березовский городской округ, г. Березовский, ул. 40 лет Победы, д 4, пом. 58, принадлежащего ПАО Сбербанк </w:t>
      </w:r>
    </w:p>
    <w:p w14:paraId="069A81B1" w14:textId="77777777" w:rsidR="006708B4" w:rsidRPr="006708B4" w:rsidRDefault="006708B4" w:rsidP="006708B4">
      <w:pPr>
        <w:jc w:val="center"/>
        <w:rPr>
          <w:rFonts w:eastAsia="Times New Roman"/>
          <w:b/>
          <w:bCs/>
        </w:rPr>
      </w:pPr>
    </w:p>
    <w:p w14:paraId="512A198B" w14:textId="706E1114" w:rsidR="001E23A4" w:rsidRPr="00F30D8B" w:rsidRDefault="001E23A4" w:rsidP="00920C94">
      <w:pPr>
        <w:jc w:val="center"/>
        <w:rPr>
          <w:b/>
        </w:rPr>
      </w:pPr>
    </w:p>
    <w:p w14:paraId="1FE50F38" w14:textId="77777777" w:rsidR="00315A63" w:rsidRPr="00F30D8B" w:rsidRDefault="00315A63" w:rsidP="00573FA0">
      <w:pPr>
        <w:jc w:val="center"/>
        <w:outlineLvl w:val="0"/>
        <w:rPr>
          <w:b/>
          <w:bCs/>
        </w:rPr>
      </w:pPr>
    </w:p>
    <w:p w14:paraId="6EE00148" w14:textId="10F21945" w:rsidR="00B81009" w:rsidRPr="00D01189" w:rsidRDefault="00483FB2" w:rsidP="00362841">
      <w:pPr>
        <w:jc w:val="center"/>
        <w:outlineLvl w:val="0"/>
        <w:rPr>
          <w:bCs/>
        </w:rPr>
      </w:pPr>
      <w:r>
        <w:rPr>
          <w:b/>
          <w:bCs/>
          <w:sz w:val="28"/>
          <w:szCs w:val="28"/>
        </w:rPr>
        <w:t>21</w:t>
      </w:r>
      <w:r w:rsidR="003A73DB" w:rsidRPr="00B106CA">
        <w:rPr>
          <w:b/>
          <w:bCs/>
          <w:sz w:val="28"/>
          <w:szCs w:val="28"/>
        </w:rPr>
        <w:t>.</w:t>
      </w:r>
      <w:r w:rsidR="000315A3">
        <w:rPr>
          <w:b/>
          <w:bCs/>
          <w:sz w:val="28"/>
          <w:szCs w:val="28"/>
        </w:rPr>
        <w:t>0</w:t>
      </w:r>
      <w:r>
        <w:rPr>
          <w:b/>
          <w:bCs/>
          <w:sz w:val="28"/>
          <w:szCs w:val="28"/>
        </w:rPr>
        <w:t>8</w:t>
      </w:r>
      <w:r w:rsidR="008D5FC8" w:rsidRPr="00B106CA">
        <w:rPr>
          <w:b/>
          <w:bCs/>
          <w:sz w:val="28"/>
          <w:szCs w:val="28"/>
        </w:rPr>
        <w:t>.202</w:t>
      </w:r>
      <w:r w:rsidR="000315A3">
        <w:rPr>
          <w:b/>
          <w:bCs/>
          <w:sz w:val="28"/>
          <w:szCs w:val="28"/>
        </w:rPr>
        <w:t>6</w:t>
      </w:r>
      <w:r w:rsidR="00362841" w:rsidRPr="00B106CA">
        <w:rPr>
          <w:b/>
          <w:bCs/>
          <w:sz w:val="28"/>
          <w:szCs w:val="28"/>
        </w:rPr>
        <w:t xml:space="preserve"> года в </w:t>
      </w:r>
      <w:r w:rsidR="000C50D0">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13F60901" w:rsidR="00573FA0" w:rsidRPr="0005653B" w:rsidRDefault="00573FA0" w:rsidP="00573FA0">
      <w:pPr>
        <w:jc w:val="center"/>
        <w:rPr>
          <w:bCs/>
        </w:rPr>
      </w:pPr>
      <w:r w:rsidRPr="00F30D8B">
        <w:rPr>
          <w:b/>
          <w:bCs/>
        </w:rPr>
        <w:t>Организатор торгов –</w:t>
      </w:r>
      <w:r w:rsidR="00C05D7E" w:rsidRPr="00C05D7E">
        <w:rPr>
          <w:color w:val="000000"/>
        </w:rPr>
        <w:t xml:space="preserve"> </w:t>
      </w:r>
      <w:r w:rsidR="00C05D7E" w:rsidRPr="0095278B">
        <w:rPr>
          <w:color w:val="000000"/>
        </w:rPr>
        <w:t xml:space="preserve">Обособленное подразделение АО «РАД» в г. Красноярске </w:t>
      </w:r>
    </w:p>
    <w:p w14:paraId="73911E9F" w14:textId="77777777" w:rsidR="00573FA0" w:rsidRPr="0005653B" w:rsidRDefault="00573FA0" w:rsidP="00573FA0">
      <w:pPr>
        <w:jc w:val="center"/>
        <w:rPr>
          <w:b/>
        </w:rPr>
      </w:pPr>
    </w:p>
    <w:p w14:paraId="2150BEB0" w14:textId="6E731012"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0315A3">
        <w:rPr>
          <w:b/>
          <w:bCs/>
        </w:rPr>
        <w:t>8</w:t>
      </w:r>
      <w:r w:rsidR="004E5D78" w:rsidRPr="00B106CA">
        <w:rPr>
          <w:b/>
          <w:bCs/>
        </w:rPr>
        <w:t>:00</w:t>
      </w:r>
      <w:r w:rsidRPr="00B106CA">
        <w:rPr>
          <w:b/>
          <w:bCs/>
        </w:rPr>
        <w:t xml:space="preserve"> </w:t>
      </w:r>
      <w:r w:rsidR="00483FB2">
        <w:rPr>
          <w:b/>
          <w:bCs/>
        </w:rPr>
        <w:t>19</w:t>
      </w:r>
      <w:r w:rsidR="003A73DB" w:rsidRPr="00B106CA">
        <w:rPr>
          <w:b/>
          <w:bCs/>
        </w:rPr>
        <w:t>.</w:t>
      </w:r>
      <w:r w:rsidR="00390C40">
        <w:rPr>
          <w:b/>
          <w:bCs/>
        </w:rPr>
        <w:t>0</w:t>
      </w:r>
      <w:r w:rsidR="00483FB2">
        <w:rPr>
          <w:b/>
          <w:bCs/>
        </w:rPr>
        <w:t>5</w:t>
      </w:r>
      <w:r w:rsidRPr="00B106CA">
        <w:rPr>
          <w:b/>
          <w:bCs/>
        </w:rPr>
        <w:t>.20</w:t>
      </w:r>
      <w:r w:rsidR="007E1C9C" w:rsidRPr="00B106CA">
        <w:rPr>
          <w:b/>
          <w:bCs/>
        </w:rPr>
        <w:t>2</w:t>
      </w:r>
      <w:r w:rsidR="00390C40">
        <w:rPr>
          <w:b/>
          <w:bCs/>
        </w:rPr>
        <w:t>6</w:t>
      </w:r>
      <w:r w:rsidRPr="00B106CA">
        <w:rPr>
          <w:b/>
          <w:bCs/>
        </w:rPr>
        <w:t xml:space="preserve"> г. по </w:t>
      </w:r>
      <w:r w:rsidR="00483FB2">
        <w:rPr>
          <w:b/>
          <w:bCs/>
        </w:rPr>
        <w:t>19</w:t>
      </w:r>
      <w:r w:rsidR="003A73DB" w:rsidRPr="00B106CA">
        <w:rPr>
          <w:b/>
          <w:bCs/>
        </w:rPr>
        <w:t>.</w:t>
      </w:r>
      <w:r w:rsidR="000315A3">
        <w:rPr>
          <w:b/>
          <w:bCs/>
        </w:rPr>
        <w:t>0</w:t>
      </w:r>
      <w:r w:rsidR="00483FB2">
        <w:rPr>
          <w:b/>
          <w:bCs/>
        </w:rPr>
        <w:t>8</w:t>
      </w:r>
      <w:r w:rsidR="008D5FC8" w:rsidRPr="00B106CA">
        <w:rPr>
          <w:b/>
          <w:bCs/>
        </w:rPr>
        <w:t>.202</w:t>
      </w:r>
      <w:r w:rsidR="000315A3">
        <w:rPr>
          <w:b/>
          <w:bCs/>
        </w:rPr>
        <w:t>6</w:t>
      </w:r>
      <w:r w:rsidRPr="00B106CA">
        <w:rPr>
          <w:b/>
          <w:bCs/>
        </w:rPr>
        <w:t xml:space="preserve"> г. до </w:t>
      </w:r>
      <w:r w:rsidR="00963D11" w:rsidRPr="00B106CA">
        <w:rPr>
          <w:b/>
          <w:bCs/>
        </w:rPr>
        <w:t>1</w:t>
      </w:r>
      <w:r w:rsidR="000315A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7A23D08E" w:rsidR="00362841" w:rsidRPr="0005653B" w:rsidRDefault="00362841" w:rsidP="00362841">
      <w:pPr>
        <w:jc w:val="center"/>
        <w:outlineLvl w:val="0"/>
        <w:rPr>
          <w:bCs/>
        </w:rPr>
      </w:pPr>
      <w:r w:rsidRPr="0005653B">
        <w:rPr>
          <w:b/>
          <w:bCs/>
        </w:rPr>
        <w:t xml:space="preserve">не позднее </w:t>
      </w:r>
      <w:r w:rsidR="00483FB2">
        <w:rPr>
          <w:b/>
          <w:bCs/>
        </w:rPr>
        <w:t>19</w:t>
      </w:r>
      <w:r w:rsidR="003A73DB" w:rsidRPr="00B106CA">
        <w:rPr>
          <w:b/>
          <w:bCs/>
        </w:rPr>
        <w:t>.</w:t>
      </w:r>
      <w:r w:rsidR="000315A3">
        <w:rPr>
          <w:b/>
          <w:bCs/>
        </w:rPr>
        <w:t>0</w:t>
      </w:r>
      <w:r w:rsidR="00483FB2">
        <w:rPr>
          <w:b/>
          <w:bCs/>
        </w:rPr>
        <w:t>8</w:t>
      </w:r>
      <w:r w:rsidR="00CE7087" w:rsidRPr="00B106CA">
        <w:rPr>
          <w:b/>
          <w:bCs/>
        </w:rPr>
        <w:t>.202</w:t>
      </w:r>
      <w:r w:rsidR="00390C40">
        <w:rPr>
          <w:b/>
          <w:bCs/>
        </w:rPr>
        <w:t>6</w:t>
      </w:r>
      <w:r w:rsidRPr="00B106CA">
        <w:rPr>
          <w:b/>
          <w:bCs/>
        </w:rPr>
        <w:t xml:space="preserve"> г. до </w:t>
      </w:r>
      <w:r w:rsidR="00963D11" w:rsidRPr="00B106CA">
        <w:rPr>
          <w:b/>
          <w:bCs/>
        </w:rPr>
        <w:t>1</w:t>
      </w:r>
      <w:r w:rsidR="000315A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4C8222F"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483FB2">
        <w:rPr>
          <w:b/>
          <w:bCs/>
        </w:rPr>
        <w:t>20</w:t>
      </w:r>
      <w:r w:rsidR="003A73DB" w:rsidRPr="00B106CA">
        <w:rPr>
          <w:b/>
          <w:bCs/>
        </w:rPr>
        <w:t>.</w:t>
      </w:r>
      <w:r w:rsidR="000315A3">
        <w:rPr>
          <w:b/>
          <w:bCs/>
        </w:rPr>
        <w:t>0</w:t>
      </w:r>
      <w:r w:rsidR="00483FB2">
        <w:rPr>
          <w:b/>
          <w:bCs/>
        </w:rPr>
        <w:t>8</w:t>
      </w:r>
      <w:r w:rsidRPr="00B106CA">
        <w:rPr>
          <w:b/>
          <w:bCs/>
        </w:rPr>
        <w:t>.20</w:t>
      </w:r>
      <w:r w:rsidR="00F47C54" w:rsidRPr="00B106CA">
        <w:rPr>
          <w:b/>
          <w:bCs/>
        </w:rPr>
        <w:t>2</w:t>
      </w:r>
      <w:r w:rsidR="000315A3">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2F6E6398"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52583F">
        <w:rPr>
          <w:b/>
          <w:bCs/>
          <w:sz w:val="18"/>
          <w:szCs w:val="18"/>
        </w:rPr>
        <w:t>нижения</w:t>
      </w:r>
      <w:r w:rsidR="00391D3C">
        <w:rPr>
          <w:b/>
          <w:bCs/>
          <w:sz w:val="18"/>
          <w:szCs w:val="18"/>
        </w:rPr>
        <w:t xml:space="preserve"> </w:t>
      </w:r>
      <w:r w:rsidRPr="0005653B">
        <w:rPr>
          <w:b/>
          <w:bCs/>
          <w:sz w:val="18"/>
          <w:szCs w:val="18"/>
        </w:rPr>
        <w:t xml:space="preserve">начальной цены </w:t>
      </w:r>
    </w:p>
    <w:p w14:paraId="5DC81ACC" w14:textId="5F8C04B0" w:rsidR="00290C36" w:rsidRPr="00F30D8B" w:rsidRDefault="00290C36" w:rsidP="00573FA0">
      <w:pPr>
        <w:pStyle w:val="a5"/>
        <w:widowControl w:val="0"/>
        <w:ind w:left="0" w:right="0"/>
        <w:jc w:val="center"/>
        <w:rPr>
          <w:b/>
          <w:bCs/>
          <w:sz w:val="18"/>
          <w:szCs w:val="18"/>
        </w:rPr>
      </w:pPr>
      <w:r w:rsidRPr="0005653B">
        <w:rPr>
          <w:b/>
          <w:bCs/>
          <w:sz w:val="18"/>
          <w:szCs w:val="18"/>
        </w:rPr>
        <w:t>(«</w:t>
      </w:r>
      <w:r w:rsidR="0052583F">
        <w:rPr>
          <w:b/>
          <w:bCs/>
          <w:sz w:val="18"/>
          <w:szCs w:val="18"/>
        </w:rPr>
        <w:t xml:space="preserve">голландский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73A50D4F"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D9033E" w:rsidRPr="00D9033E">
        <w:rPr>
          <w:b/>
          <w:bCs/>
        </w:rPr>
        <w:t>1</w:t>
      </w:r>
      <w:r w:rsidR="00D9033E" w:rsidRPr="007113FF">
        <w:rPr>
          <w:b/>
          <w:bCs/>
        </w:rPr>
        <w:t>9</w:t>
      </w:r>
      <w:r>
        <w:rPr>
          <w:b/>
          <w:bCs/>
        </w:rPr>
        <w:t xml:space="preserve">, </w:t>
      </w:r>
      <w:bookmarkStart w:id="1" w:name="_Hlk109991431"/>
      <w:r w:rsidR="00D9033E">
        <w:rPr>
          <w:lang w:val="en-US"/>
        </w:rPr>
        <w:fldChar w:fldCharType="begin"/>
      </w:r>
      <w:r w:rsidR="00D9033E">
        <w:rPr>
          <w:lang w:val="en-US"/>
        </w:rPr>
        <w:instrText>HYPERLINK</w:instrText>
      </w:r>
      <w:r w:rsidR="00D9033E" w:rsidRPr="00D9033E">
        <w:instrText xml:space="preserve"> "</w:instrText>
      </w:r>
      <w:r w:rsidR="00D9033E">
        <w:rPr>
          <w:lang w:val="en-US"/>
        </w:rPr>
        <w:instrText>mailto</w:instrText>
      </w:r>
      <w:r w:rsidR="00D9033E" w:rsidRPr="00D9033E">
        <w:instrText>:</w:instrText>
      </w:r>
      <w:r w:rsidR="00D9033E" w:rsidRPr="00D9033E">
        <w:rPr>
          <w:lang w:val="en-US"/>
        </w:rPr>
        <w:instrText>krsk</w:instrText>
      </w:r>
      <w:r w:rsidR="00D9033E" w:rsidRPr="00D9033E">
        <w:instrText>@auction-house.ru"</w:instrText>
      </w:r>
      <w:r w:rsidR="00D9033E">
        <w:rPr>
          <w:lang w:val="en-US"/>
        </w:rPr>
      </w:r>
      <w:r w:rsidR="00D9033E">
        <w:rPr>
          <w:lang w:val="en-US"/>
        </w:rPr>
        <w:fldChar w:fldCharType="separate"/>
      </w:r>
      <w:r w:rsidR="00D9033E" w:rsidRPr="00C16679">
        <w:rPr>
          <w:rStyle w:val="af4"/>
          <w:lang w:val="en-US"/>
        </w:rPr>
        <w:t>krsk</w:t>
      </w:r>
      <w:r w:rsidR="00D9033E" w:rsidRPr="00C16679">
        <w:rPr>
          <w:rStyle w:val="af4"/>
        </w:rPr>
        <w:t>@auction-house.ru</w:t>
      </w:r>
      <w:bookmarkEnd w:id="1"/>
      <w:r w:rsidR="00D9033E">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BACD4B5" w14:textId="77777777" w:rsidR="00C04949" w:rsidRPr="00C04949" w:rsidRDefault="00C04949" w:rsidP="00C04949">
      <w:pPr>
        <w:ind w:firstLine="567"/>
        <w:jc w:val="both"/>
        <w:rPr>
          <w:b/>
          <w:bCs/>
        </w:rPr>
      </w:pPr>
      <w:r w:rsidRPr="00C04949">
        <w:rPr>
          <w:b/>
          <w:bCs/>
        </w:rPr>
        <w:t>Аукцион на право заключения договора аренды, Объект аренды - Лот №1:</w:t>
      </w:r>
    </w:p>
    <w:p w14:paraId="219DABF3" w14:textId="68CCD14E" w:rsidR="00C04949" w:rsidRPr="00C04949" w:rsidRDefault="000C2E12" w:rsidP="00C04949">
      <w:pPr>
        <w:ind w:firstLine="567"/>
        <w:jc w:val="both"/>
        <w:rPr>
          <w:bCs/>
        </w:rPr>
      </w:pPr>
      <w:r>
        <w:rPr>
          <w:b/>
        </w:rPr>
        <w:t xml:space="preserve">- </w:t>
      </w:r>
      <w:r w:rsidR="00C04949" w:rsidRPr="00C04949">
        <w:rPr>
          <w:b/>
        </w:rPr>
        <w:t>нежилое помещение, расположенное по адресу: Кемеровская область, Березовский городской округ, г Березовский, ул. 40 лет Победы, д. 4, пом. 58, площадью 174,8 кв. м</w:t>
      </w:r>
      <w:r w:rsidR="00C04949" w:rsidRPr="00C04949">
        <w:rPr>
          <w:bCs/>
        </w:rPr>
        <w:t xml:space="preserve">, с кадастровым номером 42:22:0101001:3138, этажность: этаж № 1, принадлежащее </w:t>
      </w:r>
      <w:r w:rsidR="00AD2BA7">
        <w:rPr>
          <w:bCs/>
        </w:rPr>
        <w:t>Арендодателю</w:t>
      </w:r>
      <w:r w:rsidR="00C04949" w:rsidRPr="00C04949">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42-42-01/243/2007-324 от 13.12.2007.</w:t>
      </w:r>
    </w:p>
    <w:p w14:paraId="65CE309F" w14:textId="40866E5C" w:rsidR="00C04949" w:rsidRPr="00C04949" w:rsidRDefault="00C04949" w:rsidP="00C04949">
      <w:pPr>
        <w:spacing w:after="120"/>
        <w:ind w:firstLine="567"/>
        <w:jc w:val="both"/>
        <w:rPr>
          <w:rFonts w:eastAsia="Times New Roman"/>
          <w:b/>
        </w:rPr>
      </w:pPr>
      <w:r w:rsidRPr="00C04949">
        <w:rPr>
          <w:rFonts w:eastAsia="Times New Roman"/>
        </w:rPr>
        <w:t>Существующие ограничения (обременения) права: не зарегистрировано.</w:t>
      </w:r>
    </w:p>
    <w:p w14:paraId="322C3D4C" w14:textId="4D89B2F2" w:rsidR="00C04949" w:rsidRPr="00C04949" w:rsidRDefault="00C04949" w:rsidP="00C04949">
      <w:pPr>
        <w:spacing w:after="120"/>
        <w:ind w:firstLine="567"/>
        <w:jc w:val="both"/>
        <w:rPr>
          <w:rFonts w:eastAsia="Times New Roman"/>
        </w:rPr>
      </w:pPr>
      <w:r w:rsidRPr="00C04949">
        <w:rPr>
          <w:rFonts w:eastAsia="Times New Roman"/>
          <w:b/>
        </w:rPr>
        <w:t>Срок действия договора аренды:</w:t>
      </w:r>
      <w:r w:rsidRPr="00C04949">
        <w:rPr>
          <w:rFonts w:eastAsia="Times New Roman"/>
        </w:rPr>
        <w:t xml:space="preserve"> не более 5 (пять) лет</w:t>
      </w:r>
      <w:r w:rsidR="00636D64" w:rsidRPr="00636D64">
        <w:rPr>
          <w:rFonts w:eastAsia="Times New Roman"/>
        </w:rPr>
        <w:t xml:space="preserve"> с даты подписания акта приема-передачи Объекта</w:t>
      </w:r>
      <w:r w:rsidRPr="00C04949">
        <w:rPr>
          <w:rFonts w:eastAsia="Times New Roman"/>
        </w:rPr>
        <w:t>.</w:t>
      </w:r>
    </w:p>
    <w:p w14:paraId="7ADA3293" w14:textId="77777777" w:rsidR="00C04949" w:rsidRPr="00E362CD" w:rsidRDefault="00C04949" w:rsidP="00E362CD">
      <w:pPr>
        <w:spacing w:after="120"/>
        <w:ind w:firstLine="567"/>
        <w:jc w:val="both"/>
        <w:rPr>
          <w:rFonts w:eastAsia="Times New Roman"/>
        </w:rPr>
      </w:pPr>
    </w:p>
    <w:p w14:paraId="50A9ABFE" w14:textId="0FCF319D" w:rsidR="0005653B" w:rsidRDefault="0005653B" w:rsidP="0005653B">
      <w:pPr>
        <w:ind w:firstLine="708"/>
        <w:jc w:val="center"/>
        <w:rPr>
          <w:bCs/>
        </w:rPr>
      </w:pPr>
      <w:r w:rsidRPr="00FA5F54">
        <w:rPr>
          <w:b/>
          <w:bCs/>
        </w:rPr>
        <w:t xml:space="preserve">Время проведения аукциона </w:t>
      </w:r>
      <w:r w:rsidRPr="00085425">
        <w:rPr>
          <w:b/>
          <w:bCs/>
        </w:rPr>
        <w:t xml:space="preserve">с </w:t>
      </w:r>
      <w:r w:rsidR="00BA117B" w:rsidRPr="00085425">
        <w:rPr>
          <w:b/>
          <w:bCs/>
        </w:rPr>
        <w:t>08</w:t>
      </w:r>
      <w:r w:rsidRPr="00085425">
        <w:rPr>
          <w:b/>
          <w:bCs/>
        </w:rPr>
        <w:t xml:space="preserve">:00 ч. </w:t>
      </w:r>
      <w:r w:rsidR="00101729" w:rsidRPr="00085425">
        <w:rPr>
          <w:b/>
          <w:bCs/>
        </w:rPr>
        <w:t>д</w:t>
      </w:r>
      <w:r w:rsidRPr="00085425">
        <w:rPr>
          <w:b/>
          <w:bCs/>
        </w:rPr>
        <w:t>о</w:t>
      </w:r>
      <w:r w:rsidR="00001297" w:rsidRPr="00085425">
        <w:rPr>
          <w:b/>
          <w:bCs/>
        </w:rPr>
        <w:t xml:space="preserve"> </w:t>
      </w:r>
      <w:r w:rsidR="00085425" w:rsidRPr="00085425">
        <w:rPr>
          <w:b/>
          <w:bCs/>
        </w:rPr>
        <w:t>10</w:t>
      </w:r>
      <w:r w:rsidRPr="00085425">
        <w:rPr>
          <w:b/>
          <w:bCs/>
        </w:rPr>
        <w:t xml:space="preserve">:00 ч. </w:t>
      </w:r>
      <w:r w:rsidRPr="00085425">
        <w:rPr>
          <w:bCs/>
        </w:rPr>
        <w:t>(время московское</w:t>
      </w:r>
      <w:r w:rsidRPr="00FA5F54">
        <w:rPr>
          <w:bCs/>
        </w:rPr>
        <w:t xml:space="preserve">) </w:t>
      </w:r>
    </w:p>
    <w:p w14:paraId="5CFEC9A2" w14:textId="77777777" w:rsidR="00BB042A" w:rsidRPr="00BB042A" w:rsidRDefault="00BB042A" w:rsidP="0005653B">
      <w:pPr>
        <w:ind w:firstLine="708"/>
        <w:jc w:val="center"/>
        <w:rPr>
          <w:bCs/>
        </w:rPr>
      </w:pPr>
    </w:p>
    <w:p w14:paraId="2175B913" w14:textId="62FD2064" w:rsidR="00BB042A" w:rsidRPr="00BB042A" w:rsidRDefault="00BB042A" w:rsidP="00BB042A">
      <w:pPr>
        <w:spacing w:after="120"/>
        <w:ind w:firstLine="567"/>
        <w:jc w:val="both"/>
        <w:rPr>
          <w:bCs/>
          <w:spacing w:val="-2"/>
        </w:rPr>
      </w:pPr>
      <w:r w:rsidRPr="00BB042A">
        <w:rPr>
          <w:bCs/>
          <w:spacing w:val="-2"/>
        </w:rPr>
        <w:t xml:space="preserve">Аукцион проводится с возможным понижением начального размера арендной платы, с установлением начальной ставки арендной платы в размере </w:t>
      </w:r>
      <w:r w:rsidR="00776954">
        <w:rPr>
          <w:b/>
          <w:spacing w:val="-2"/>
        </w:rPr>
        <w:t>348,31</w:t>
      </w:r>
      <w:r w:rsidRPr="00BB042A">
        <w:rPr>
          <w:bCs/>
          <w:spacing w:val="-2"/>
        </w:rPr>
        <w:t xml:space="preserve"> руб./за 1 кв. м, с учетом НДС, без учета эксплуатационных расходов и коммунальных платежей, и минимальной ставки арендной платы (цены отсечения аукциона) в размере не менее </w:t>
      </w:r>
      <w:r w:rsidR="00776954">
        <w:rPr>
          <w:b/>
          <w:spacing w:val="-2"/>
        </w:rPr>
        <w:t>232,20</w:t>
      </w:r>
      <w:r w:rsidRPr="00BB042A">
        <w:rPr>
          <w:bCs/>
          <w:spacing w:val="-2"/>
        </w:rPr>
        <w:t xml:space="preserve"> руб./за 1 кв. м, с учетом НДС, без учета эксплуатационных расходов и коммунальных платежей, на следующих условиях:</w:t>
      </w:r>
    </w:p>
    <w:p w14:paraId="4A2A3146" w14:textId="77777777" w:rsidR="00BB042A" w:rsidRDefault="00BB042A" w:rsidP="00430AA5">
      <w:pPr>
        <w:spacing w:after="120"/>
        <w:ind w:firstLine="567"/>
        <w:jc w:val="both"/>
        <w:rPr>
          <w:b/>
          <w:spacing w:val="-2"/>
        </w:rPr>
      </w:pPr>
    </w:p>
    <w:p w14:paraId="5BA94724" w14:textId="77777777" w:rsidR="00BB042A" w:rsidRDefault="00BB042A" w:rsidP="00430AA5">
      <w:pPr>
        <w:spacing w:after="120"/>
        <w:ind w:firstLine="567"/>
        <w:jc w:val="both"/>
        <w:rPr>
          <w:b/>
          <w:spacing w:val="-2"/>
        </w:rPr>
      </w:pPr>
    </w:p>
    <w:p w14:paraId="372FCE49" w14:textId="07246392" w:rsidR="00430AA5" w:rsidRDefault="00DC5901" w:rsidP="00430AA5">
      <w:pPr>
        <w:spacing w:after="120"/>
        <w:ind w:firstLine="567"/>
        <w:jc w:val="both"/>
      </w:pPr>
      <w:r w:rsidRPr="008D5184">
        <w:rPr>
          <w:b/>
          <w:spacing w:val="-2"/>
        </w:rPr>
        <w:lastRenderedPageBreak/>
        <w:t>Начальн</w:t>
      </w:r>
      <w:r w:rsidR="001248E4">
        <w:rPr>
          <w:b/>
          <w:spacing w:val="-2"/>
        </w:rPr>
        <w:t xml:space="preserve">ая цена </w:t>
      </w:r>
      <w:r w:rsidRPr="001248E4">
        <w:rPr>
          <w:bCs/>
          <w:spacing w:val="-2"/>
        </w:rPr>
        <w:t xml:space="preserve">арендной платы </w:t>
      </w:r>
      <w:r w:rsidRPr="001248E4">
        <w:rPr>
          <w:bCs/>
        </w:rPr>
        <w:t>за пользование Объектом</w:t>
      </w:r>
      <w:r w:rsidR="001248E4" w:rsidRPr="001248E4">
        <w:t>:</w:t>
      </w:r>
      <w:r w:rsidRPr="001248E4">
        <w:t xml:space="preserve"> </w:t>
      </w:r>
      <w:r w:rsidR="00552901" w:rsidRPr="00BD6299">
        <w:rPr>
          <w:b/>
        </w:rPr>
        <w:t>60 884 (Шестьдесят тысяч восемьсот восемьдесят четыре</w:t>
      </w:r>
      <w:r w:rsidR="00552901">
        <w:rPr>
          <w:b/>
        </w:rPr>
        <w:t>)</w:t>
      </w:r>
      <w:r w:rsidR="00552901" w:rsidRPr="00BD6299">
        <w:rPr>
          <w:b/>
        </w:rPr>
        <w:t xml:space="preserve"> руб</w:t>
      </w:r>
      <w:r w:rsidR="00552901">
        <w:rPr>
          <w:b/>
        </w:rPr>
        <w:t>.</w:t>
      </w:r>
      <w:r w:rsidR="00552901" w:rsidRPr="00BD6299">
        <w:rPr>
          <w:b/>
        </w:rPr>
        <w:t xml:space="preserve"> 59 </w:t>
      </w:r>
      <w:r w:rsidR="00552901" w:rsidRPr="00BB042A">
        <w:rPr>
          <w:b/>
        </w:rPr>
        <w:t>коп.</w:t>
      </w:r>
      <w:r w:rsidR="00552901">
        <w:rPr>
          <w:b/>
        </w:rPr>
        <w:t xml:space="preserve"> </w:t>
      </w:r>
      <w:r w:rsidRPr="0093511C">
        <w:rPr>
          <w:b/>
        </w:rPr>
        <w:t>в месяц</w:t>
      </w:r>
      <w:r>
        <w:rPr>
          <w:b/>
        </w:rPr>
        <w:t>, в том числе НДС</w:t>
      </w:r>
      <w:r w:rsidR="00430AA5">
        <w:t>.</w:t>
      </w:r>
    </w:p>
    <w:p w14:paraId="63511DEF" w14:textId="77AF7BF7" w:rsidR="00BB042A" w:rsidRPr="00BB042A" w:rsidRDefault="00BB042A" w:rsidP="00BB042A">
      <w:pPr>
        <w:spacing w:after="120"/>
        <w:ind w:firstLine="567"/>
        <w:jc w:val="both"/>
      </w:pPr>
      <w:r w:rsidRPr="00BB042A">
        <w:rPr>
          <w:b/>
        </w:rPr>
        <w:t xml:space="preserve">Минимальная цена (цена отсечения) </w:t>
      </w:r>
      <w:r w:rsidRPr="00BB042A">
        <w:rPr>
          <w:b/>
          <w:bCs/>
        </w:rPr>
        <w:t>арендной платы</w:t>
      </w:r>
      <w:r w:rsidRPr="00BB042A">
        <w:rPr>
          <w:b/>
        </w:rPr>
        <w:t xml:space="preserve"> за пользование Объектом:</w:t>
      </w:r>
      <w:r w:rsidR="00552901">
        <w:rPr>
          <w:b/>
        </w:rPr>
        <w:t xml:space="preserve">                   </w:t>
      </w:r>
      <w:r w:rsidR="00552901" w:rsidRPr="00552901">
        <w:rPr>
          <w:b/>
        </w:rPr>
        <w:t>40 588 (Сорок тысяч пятьсот восемьдесят восемь</w:t>
      </w:r>
      <w:r w:rsidR="00BD6299">
        <w:rPr>
          <w:b/>
        </w:rPr>
        <w:t>)</w:t>
      </w:r>
      <w:r w:rsidR="00BD6299" w:rsidRPr="00BD6299">
        <w:rPr>
          <w:b/>
        </w:rPr>
        <w:t xml:space="preserve"> руб</w:t>
      </w:r>
      <w:r w:rsidR="00BD6299">
        <w:rPr>
          <w:b/>
        </w:rPr>
        <w:t>.</w:t>
      </w:r>
      <w:r w:rsidR="00BD6299" w:rsidRPr="00BD6299">
        <w:rPr>
          <w:b/>
        </w:rPr>
        <w:t xml:space="preserve"> 5</w:t>
      </w:r>
      <w:r w:rsidR="00552901">
        <w:rPr>
          <w:b/>
        </w:rPr>
        <w:t>6</w:t>
      </w:r>
      <w:r w:rsidR="00BD6299" w:rsidRPr="00BD6299">
        <w:rPr>
          <w:b/>
        </w:rPr>
        <w:t xml:space="preserve"> </w:t>
      </w:r>
      <w:r w:rsidRPr="00BB042A">
        <w:rPr>
          <w:b/>
        </w:rPr>
        <w:t>коп.</w:t>
      </w:r>
    </w:p>
    <w:p w14:paraId="40098E73" w14:textId="4CBB48B6" w:rsidR="00430AA5" w:rsidRPr="008D5184" w:rsidRDefault="00DC5901" w:rsidP="00552901">
      <w:pPr>
        <w:spacing w:after="120"/>
        <w:ind w:firstLine="567"/>
        <w:jc w:val="both"/>
      </w:pPr>
      <w:r w:rsidRPr="00464587">
        <w:rPr>
          <w:b/>
        </w:rPr>
        <w:t>Сумма задатка</w:t>
      </w:r>
      <w:r w:rsidR="001248E4" w:rsidRPr="001248E4">
        <w:rPr>
          <w:b/>
        </w:rPr>
        <w:t>:</w:t>
      </w:r>
      <w:r w:rsidR="00552901">
        <w:rPr>
          <w:b/>
        </w:rPr>
        <w:t xml:space="preserve"> </w:t>
      </w:r>
      <w:r w:rsidR="00552901" w:rsidRPr="00552901">
        <w:rPr>
          <w:b/>
        </w:rPr>
        <w:t>40 588 (Сорок тысяч пятьсот восемьдесят восемь</w:t>
      </w:r>
      <w:r w:rsidR="00552901">
        <w:rPr>
          <w:b/>
        </w:rPr>
        <w:t>)</w:t>
      </w:r>
      <w:r w:rsidR="00552901" w:rsidRPr="00BD6299">
        <w:rPr>
          <w:b/>
        </w:rPr>
        <w:t xml:space="preserve"> руб</w:t>
      </w:r>
      <w:r w:rsidR="00552901">
        <w:rPr>
          <w:b/>
        </w:rPr>
        <w:t>.</w:t>
      </w:r>
      <w:r w:rsidR="00552901" w:rsidRPr="00BD6299">
        <w:rPr>
          <w:b/>
        </w:rPr>
        <w:t xml:space="preserve"> 5</w:t>
      </w:r>
      <w:r w:rsidR="00552901">
        <w:rPr>
          <w:b/>
        </w:rPr>
        <w:t>6</w:t>
      </w:r>
      <w:r w:rsidR="00552901" w:rsidRPr="00BD6299">
        <w:rPr>
          <w:b/>
        </w:rPr>
        <w:t xml:space="preserve"> </w:t>
      </w:r>
      <w:r w:rsidR="00552901" w:rsidRPr="00BB042A">
        <w:rPr>
          <w:b/>
        </w:rPr>
        <w:t>коп.</w:t>
      </w:r>
      <w:r w:rsidR="00C96089">
        <w:rPr>
          <w:b/>
        </w:rPr>
        <w:t>,</w:t>
      </w:r>
      <w:r w:rsidR="00552901">
        <w:rPr>
          <w:b/>
        </w:rPr>
        <w:t xml:space="preserve"> </w:t>
      </w:r>
      <w:r>
        <w:t>НДС не облагается</w:t>
      </w:r>
      <w:r w:rsidR="00430AA5" w:rsidRPr="008D5184">
        <w:t xml:space="preserve">. </w:t>
      </w:r>
    </w:p>
    <w:p w14:paraId="49AABA01" w14:textId="68F72ADF" w:rsidR="00430AA5" w:rsidRDefault="00DC5901" w:rsidP="00430AA5">
      <w:pPr>
        <w:spacing w:after="120"/>
        <w:ind w:firstLine="567"/>
        <w:jc w:val="both"/>
      </w:pPr>
      <w:r w:rsidRPr="00464587">
        <w:rPr>
          <w:b/>
        </w:rPr>
        <w:t>Шаг аукциона</w:t>
      </w:r>
      <w:r w:rsidR="001248E4">
        <w:rPr>
          <w:b/>
        </w:rPr>
        <w:t xml:space="preserve"> на повышение</w:t>
      </w:r>
      <w:r w:rsidR="001248E4" w:rsidRPr="001248E4">
        <w:rPr>
          <w:b/>
        </w:rPr>
        <w:t>:</w:t>
      </w:r>
      <w:r w:rsidR="00975671">
        <w:rPr>
          <w:b/>
        </w:rPr>
        <w:t xml:space="preserve"> </w:t>
      </w:r>
      <w:r w:rsidR="00975671" w:rsidRPr="00975671">
        <w:rPr>
          <w:b/>
        </w:rPr>
        <w:t>3 044 (Три тысячи сорок четыре</w:t>
      </w:r>
      <w:r w:rsidR="000758D3" w:rsidRPr="00646A0C">
        <w:rPr>
          <w:b/>
        </w:rPr>
        <w:t xml:space="preserve">) руб. </w:t>
      </w:r>
      <w:r w:rsidR="00975671">
        <w:rPr>
          <w:b/>
        </w:rPr>
        <w:t>23</w:t>
      </w:r>
      <w:r w:rsidR="000758D3" w:rsidRPr="00646A0C">
        <w:rPr>
          <w:b/>
        </w:rPr>
        <w:t xml:space="preserve"> коп</w:t>
      </w:r>
      <w:r w:rsidR="00BB042A">
        <w:rPr>
          <w:b/>
        </w:rPr>
        <w:t>.</w:t>
      </w:r>
      <w:r w:rsidR="00430AA5" w:rsidRPr="008D5184">
        <w:t xml:space="preserve"> </w:t>
      </w:r>
    </w:p>
    <w:p w14:paraId="7D5F576E" w14:textId="78A9F073" w:rsidR="00BB042A" w:rsidRPr="00BB042A" w:rsidRDefault="00BB042A" w:rsidP="00BB042A">
      <w:pPr>
        <w:spacing w:after="120"/>
        <w:ind w:firstLine="567"/>
        <w:jc w:val="both"/>
        <w:rPr>
          <w:b/>
        </w:rPr>
      </w:pPr>
      <w:r w:rsidRPr="00BB042A">
        <w:rPr>
          <w:b/>
        </w:rPr>
        <w:t>Шаг аукциона на понижение:</w:t>
      </w:r>
      <w:r w:rsidR="00975671">
        <w:rPr>
          <w:b/>
        </w:rPr>
        <w:t xml:space="preserve"> </w:t>
      </w:r>
      <w:r w:rsidR="00975671" w:rsidRPr="00975671">
        <w:rPr>
          <w:b/>
        </w:rPr>
        <w:t>20 296 (Двадцать тысяч двести девяносто шесть</w:t>
      </w:r>
      <w:r w:rsidR="00C96089" w:rsidRPr="00C96089">
        <w:rPr>
          <w:b/>
        </w:rPr>
        <w:t xml:space="preserve">) руб. </w:t>
      </w:r>
      <w:r w:rsidR="00677684">
        <w:rPr>
          <w:b/>
        </w:rPr>
        <w:t>03</w:t>
      </w:r>
      <w:r w:rsidR="00C96089" w:rsidRPr="00C96089">
        <w:rPr>
          <w:b/>
        </w:rPr>
        <w:t xml:space="preserve"> коп.</w:t>
      </w:r>
    </w:p>
    <w:p w14:paraId="23343259" w14:textId="77777777" w:rsidR="00BB042A" w:rsidRPr="008D5184" w:rsidRDefault="00BB042A" w:rsidP="00430AA5">
      <w:pPr>
        <w:spacing w:after="120"/>
        <w:ind w:firstLine="567"/>
        <w:jc w:val="both"/>
      </w:pPr>
    </w:p>
    <w:p w14:paraId="33027C12" w14:textId="77777777" w:rsidR="00F30ADD" w:rsidRPr="00F30ADD" w:rsidRDefault="002A6758" w:rsidP="003B71B1">
      <w:pPr>
        <w:pStyle w:val="mcntmcntmsonormal"/>
        <w:shd w:val="clear" w:color="auto" w:fill="FFFFFF"/>
        <w:spacing w:before="24" w:after="24"/>
        <w:ind w:firstLine="567"/>
        <w:jc w:val="both"/>
        <w:rPr>
          <w:b/>
          <w:color w:val="000000"/>
        </w:rPr>
      </w:pPr>
      <w:r>
        <w:rPr>
          <w:color w:val="000000"/>
        </w:rPr>
        <w:t xml:space="preserve"> </w:t>
      </w:r>
      <w:r w:rsidR="00F30ADD" w:rsidRPr="0095278B">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F30ADD" w:rsidRPr="0095278B">
          <w:rPr>
            <w:rStyle w:val="af4"/>
          </w:rPr>
          <w:t>krsk@auction-house.ru</w:t>
        </w:r>
      </w:hyperlink>
      <w:r w:rsidR="00F30ADD" w:rsidRPr="0095278B">
        <w:rPr>
          <w:color w:val="000000"/>
        </w:rPr>
        <w:t>, в рабочие дни с 09:00 до 18:00 часов (время местное – Красноярск), не позднее дня окончания приема заявок на торги.</w:t>
      </w:r>
      <w:r w:rsidR="00F30ADD" w:rsidRPr="00F30ADD">
        <w:rPr>
          <w:color w:val="000000"/>
        </w:rPr>
        <w:t xml:space="preserve"> </w:t>
      </w:r>
    </w:p>
    <w:p w14:paraId="5007E57A" w14:textId="015E98FB" w:rsidR="007322F9" w:rsidRPr="00213D65" w:rsidRDefault="007322F9" w:rsidP="004D6044">
      <w:pPr>
        <w:pStyle w:val="mcntmcntmsonormal"/>
        <w:shd w:val="clear" w:color="auto" w:fill="FFFFFF"/>
        <w:spacing w:before="24" w:beforeAutospacing="0" w:after="24" w:afterAutospacing="0"/>
        <w:ind w:firstLine="567"/>
        <w:jc w:val="both"/>
        <w:rPr>
          <w:b/>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w:t>
      </w:r>
      <w:r w:rsidR="0036098D" w:rsidRPr="00FC3573">
        <w:lastRenderedPageBreak/>
        <w:t>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3BF53487"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ителем аукциона) в течение 15 (п</w:t>
      </w:r>
      <w:r w:rsidRPr="005816C6">
        <w:rPr>
          <w:rFonts w:eastAsia="Times New Roman"/>
          <w:b/>
          <w:bCs/>
        </w:rPr>
        <w:t>ятнадцати) рабочих дней с даты подведения итогов аукциона.</w:t>
      </w:r>
    </w:p>
    <w:p w14:paraId="42E77C4E" w14:textId="3050B187" w:rsidR="00AD2BA7" w:rsidRDefault="00AD2BA7" w:rsidP="00AD2BA7">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w:t>
      </w:r>
      <w:r w:rsidRPr="00586ED5">
        <w:rPr>
          <w:b/>
        </w:rPr>
        <w:lastRenderedPageBreak/>
        <w:t>единственным участником торгов по цене</w:t>
      </w:r>
      <w:r w:rsidR="005D10E9">
        <w:rPr>
          <w:b/>
        </w:rPr>
        <w:t xml:space="preserve"> </w:t>
      </w:r>
      <w:r w:rsidR="005D10E9" w:rsidRPr="005D10E9">
        <w:rPr>
          <w:b/>
        </w:rPr>
        <w:t>ниже начального размера арендной платы за пользование Объектом (по минимальному размеру арендной платы за пользование Объектом)</w:t>
      </w:r>
      <w:r w:rsidRPr="00586ED5">
        <w:rPr>
          <w:b/>
        </w:rPr>
        <w:t>, в течение 15 (</w:t>
      </w:r>
      <w:r>
        <w:rPr>
          <w:b/>
        </w:rPr>
        <w:t>п</w:t>
      </w:r>
      <w:r w:rsidRPr="00586ED5">
        <w:rPr>
          <w:b/>
        </w:rPr>
        <w:t>ятнадцати) рабочих дней с даты признания аукциона несостоявшимся</w:t>
      </w:r>
      <w:r w:rsidRPr="00DA3285">
        <w:rPr>
          <w:rFonts w:eastAsia="Times New Roman"/>
          <w:b/>
          <w:bCs/>
        </w:rPr>
        <w:t>.</w:t>
      </w:r>
    </w:p>
    <w:p w14:paraId="6C92F971" w14:textId="20ED7A7D" w:rsidR="00B03A99" w:rsidRDefault="00DD7B3F" w:rsidP="00B03A99">
      <w:pPr>
        <w:autoSpaceDE w:val="0"/>
        <w:autoSpaceDN w:val="0"/>
        <w:adjustRightInd w:val="0"/>
        <w:spacing w:after="120"/>
        <w:ind w:firstLine="567"/>
        <w:jc w:val="both"/>
        <w:rPr>
          <w:rFonts w:eastAsia="Times New Roman"/>
          <w:b/>
          <w:bCs/>
        </w:rPr>
      </w:pPr>
      <w:r w:rsidRPr="00586ED5">
        <w:rPr>
          <w:b/>
        </w:rPr>
        <w:t>Помимо постоянной арендно</w:t>
      </w:r>
      <w:r>
        <w:rPr>
          <w:b/>
        </w:rPr>
        <w:t>й платы за пользование Объектом</w:t>
      </w:r>
      <w:r w:rsidRPr="00586ED5">
        <w:rPr>
          <w:b/>
        </w:rPr>
        <w:t xml:space="preserve"> Арендатор уплачивает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увеличенные на сумму НДС</w:t>
      </w:r>
      <w:r w:rsidR="00630AD8">
        <w:rPr>
          <w:b/>
        </w:rPr>
        <w:t xml:space="preserve"> (22%)</w:t>
      </w:r>
      <w:r w:rsidR="00B03A99" w:rsidRPr="00B03A99">
        <w:rPr>
          <w:rFonts w:eastAsia="Times New Roman"/>
          <w:b/>
          <w:bCs/>
        </w:rPr>
        <w:t>.</w:t>
      </w:r>
    </w:p>
    <w:p w14:paraId="0109B569" w14:textId="4309CAD2" w:rsidR="00B03A99" w:rsidRDefault="00DD7B3F" w:rsidP="00B03A99">
      <w:pPr>
        <w:autoSpaceDE w:val="0"/>
        <w:autoSpaceDN w:val="0"/>
        <w:adjustRightInd w:val="0"/>
        <w:spacing w:after="120"/>
        <w:ind w:firstLine="567"/>
        <w:jc w:val="both"/>
        <w:rPr>
          <w:rFonts w:eastAsia="Times New Roman"/>
          <w:b/>
          <w:bCs/>
        </w:rPr>
      </w:pPr>
      <w:r w:rsidRPr="00F044D8">
        <w:rPr>
          <w:rFonts w:eastAsia="Times New Roman"/>
          <w:b/>
          <w:bCs/>
        </w:rPr>
        <w:t>Арендатор уплачивает Арендодателю постоянную арендную плату и переменную арендную плату за первый месяц аренды в течение 10 (</w:t>
      </w:r>
      <w:r w:rsidR="008B6061">
        <w:rPr>
          <w:rFonts w:eastAsia="Times New Roman"/>
          <w:b/>
          <w:bCs/>
        </w:rPr>
        <w:t>д</w:t>
      </w:r>
      <w:r w:rsidRPr="00F044D8">
        <w:rPr>
          <w:rFonts w:eastAsia="Times New Roman"/>
          <w:b/>
          <w:bCs/>
        </w:rPr>
        <w:t>есяти) рабочих дней со дня</w:t>
      </w:r>
      <w:r w:rsidRPr="00F044D8" w:rsidDel="0094357F">
        <w:rPr>
          <w:rFonts w:eastAsia="Times New Roman"/>
          <w:b/>
          <w:bCs/>
        </w:rPr>
        <w:t xml:space="preserve"> передачи Объекта Арендатору</w:t>
      </w:r>
      <w:r w:rsidR="00B03A99" w:rsidRPr="00B03A99">
        <w:rPr>
          <w:rFonts w:eastAsia="Times New Roman"/>
          <w:b/>
          <w:bCs/>
        </w:rPr>
        <w:t>.</w:t>
      </w:r>
    </w:p>
    <w:p w14:paraId="70DCF111" w14:textId="239647C9" w:rsidR="008903C6" w:rsidRDefault="008B6061" w:rsidP="008903C6">
      <w:pPr>
        <w:autoSpaceDE w:val="0"/>
        <w:autoSpaceDN w:val="0"/>
        <w:adjustRightInd w:val="0"/>
        <w:spacing w:after="120"/>
        <w:ind w:firstLine="567"/>
        <w:jc w:val="both"/>
        <w:rPr>
          <w:rFonts w:eastAsia="Times New Roman"/>
          <w:b/>
          <w:bCs/>
        </w:rPr>
      </w:pPr>
      <w:r>
        <w:rPr>
          <w:rFonts w:eastAsia="Times New Roman"/>
          <w:b/>
          <w:bCs/>
        </w:rPr>
        <w:t>В течение 10 (д</w:t>
      </w:r>
      <w:r w:rsidR="00DD7B3F" w:rsidRPr="00F044D8">
        <w:rPr>
          <w:rFonts w:eastAsia="Times New Roman"/>
          <w:b/>
          <w:bCs/>
        </w:rPr>
        <w:t>есяти) рабочих дней со дня подписания Сторонами Договора аренды Объекта Арендатор перечисляет на счет Арендодателя обеспечительный платеж, включая НДС, в размере, равном сумме постоянной арендной платы и п</w:t>
      </w:r>
      <w:r>
        <w:rPr>
          <w:rFonts w:eastAsia="Times New Roman"/>
          <w:b/>
          <w:bCs/>
        </w:rPr>
        <w:t>еременной арендной платы за 1 (о</w:t>
      </w:r>
      <w:r w:rsidR="00DD7B3F" w:rsidRPr="00F044D8">
        <w:rPr>
          <w:rFonts w:eastAsia="Times New Roman"/>
          <w:b/>
          <w:bCs/>
        </w:rPr>
        <w:t>дин) календарный месяц с учетом НДС</w:t>
      </w:r>
      <w:r w:rsidR="008903C6" w:rsidRPr="008903C6">
        <w:rPr>
          <w:rFonts w:eastAsia="Times New Roman"/>
          <w:b/>
          <w:bCs/>
        </w:rPr>
        <w:t>.</w:t>
      </w:r>
    </w:p>
    <w:p w14:paraId="5AE4AAD4" w14:textId="24DB5257" w:rsidR="00AD2BA7" w:rsidRDefault="00AD2BA7" w:rsidP="00AD2BA7">
      <w:pPr>
        <w:spacing w:after="120"/>
        <w:ind w:firstLine="567"/>
        <w:jc w:val="both"/>
        <w:rPr>
          <w:rFonts w:eastAsia="Times New Roman"/>
          <w:b/>
          <w:bCs/>
        </w:rPr>
      </w:pPr>
      <w:r w:rsidRPr="00DA3285">
        <w:rPr>
          <w:rFonts w:eastAsia="Times New Roman"/>
          <w:b/>
          <w:bCs/>
        </w:rPr>
        <w:t xml:space="preserve">Объект передается по акту приема-передачи </w:t>
      </w:r>
      <w:r w:rsidR="00630AD8">
        <w:rPr>
          <w:rFonts w:eastAsia="Times New Roman"/>
          <w:b/>
          <w:bCs/>
        </w:rPr>
        <w:t>в сроки, установленные договором аренды.</w:t>
      </w:r>
    </w:p>
    <w:p w14:paraId="46D0FF73" w14:textId="77777777" w:rsidR="00AD2BA7" w:rsidRDefault="00AD2BA7" w:rsidP="008903C6">
      <w:pPr>
        <w:autoSpaceDE w:val="0"/>
        <w:autoSpaceDN w:val="0"/>
        <w:adjustRightInd w:val="0"/>
        <w:spacing w:after="120"/>
        <w:ind w:firstLine="567"/>
        <w:jc w:val="both"/>
        <w:rPr>
          <w:rFonts w:eastAsia="Times New Roman"/>
          <w:b/>
          <w:bCs/>
        </w:rPr>
      </w:pP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2888E091" w14:textId="77777777" w:rsidR="00B03A99" w:rsidRPr="00B03A99" w:rsidRDefault="00B03A99" w:rsidP="00B03A99">
      <w:pPr>
        <w:autoSpaceDE w:val="0"/>
        <w:autoSpaceDN w:val="0"/>
        <w:adjustRightInd w:val="0"/>
        <w:spacing w:after="120"/>
        <w:ind w:firstLine="567"/>
        <w:jc w:val="both"/>
        <w:rPr>
          <w:rFonts w:eastAsia="Times New Roman"/>
          <w:b/>
          <w:bCs/>
        </w:rPr>
      </w:pP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DD7B3F">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DD7B3F">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DD7B3F">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DD7B3F">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DD7B3F">
            <w:pPr>
              <w:rPr>
                <w:sz w:val="20"/>
                <w:szCs w:val="20"/>
              </w:rPr>
            </w:pPr>
            <w:r w:rsidRPr="00F05D6C">
              <w:rPr>
                <w:sz w:val="20"/>
                <w:szCs w:val="20"/>
              </w:rPr>
              <w:t>ПремиумГаз С.п.А.</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DD7B3F">
            <w:pPr>
              <w:rPr>
                <w:sz w:val="20"/>
                <w:szCs w:val="20"/>
              </w:rPr>
            </w:pPr>
            <w:r w:rsidRPr="00F05D6C">
              <w:rPr>
                <w:sz w:val="20"/>
                <w:szCs w:val="20"/>
              </w:rPr>
              <w:t>ВЕМЕКС с.р.о.</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DD7B3F">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AC6" w14:textId="77777777" w:rsidR="00E4049C" w:rsidRDefault="00E4049C" w:rsidP="008C3E4E">
      <w:r>
        <w:separator/>
      </w:r>
    </w:p>
  </w:endnote>
  <w:endnote w:type="continuationSeparator" w:id="0">
    <w:p w14:paraId="537DB78A" w14:textId="77777777" w:rsidR="00E4049C" w:rsidRDefault="00E4049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31F" w14:textId="77777777" w:rsidR="00E4049C" w:rsidRDefault="00E4049C" w:rsidP="008C3E4E">
      <w:r>
        <w:separator/>
      </w:r>
    </w:p>
  </w:footnote>
  <w:footnote w:type="continuationSeparator" w:id="0">
    <w:p w14:paraId="6D37A76D" w14:textId="77777777" w:rsidR="00E4049C" w:rsidRDefault="00E4049C"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41135358">
    <w:abstractNumId w:val="5"/>
  </w:num>
  <w:num w:numId="2" w16cid:durableId="1909069476">
    <w:abstractNumId w:val="16"/>
  </w:num>
  <w:num w:numId="3" w16cid:durableId="1162695219">
    <w:abstractNumId w:val="3"/>
  </w:num>
  <w:num w:numId="4" w16cid:durableId="1880849402">
    <w:abstractNumId w:val="15"/>
  </w:num>
  <w:num w:numId="5" w16cid:durableId="353268077">
    <w:abstractNumId w:val="14"/>
  </w:num>
  <w:num w:numId="6" w16cid:durableId="2030328017">
    <w:abstractNumId w:val="2"/>
  </w:num>
  <w:num w:numId="7" w16cid:durableId="1565481075">
    <w:abstractNumId w:val="4"/>
  </w:num>
  <w:num w:numId="8" w16cid:durableId="2060202394">
    <w:abstractNumId w:val="12"/>
  </w:num>
  <w:num w:numId="9" w16cid:durableId="1601797473">
    <w:abstractNumId w:val="19"/>
  </w:num>
  <w:num w:numId="10" w16cid:durableId="1186670556">
    <w:abstractNumId w:val="8"/>
  </w:num>
  <w:num w:numId="11" w16cid:durableId="588730950">
    <w:abstractNumId w:val="0"/>
  </w:num>
  <w:num w:numId="12" w16cid:durableId="323437072">
    <w:abstractNumId w:val="7"/>
  </w:num>
  <w:num w:numId="13" w16cid:durableId="481196560">
    <w:abstractNumId w:val="18"/>
  </w:num>
  <w:num w:numId="14" w16cid:durableId="530804754">
    <w:abstractNumId w:val="13"/>
  </w:num>
  <w:num w:numId="15" w16cid:durableId="1279990336">
    <w:abstractNumId w:val="1"/>
  </w:num>
  <w:num w:numId="16" w16cid:durableId="1743479089">
    <w:abstractNumId w:val="17"/>
  </w:num>
  <w:num w:numId="17" w16cid:durableId="1908343212">
    <w:abstractNumId w:val="6"/>
  </w:num>
  <w:num w:numId="18" w16cid:durableId="2016303477">
    <w:abstractNumId w:val="9"/>
  </w:num>
  <w:num w:numId="19" w16cid:durableId="202909460">
    <w:abstractNumId w:val="13"/>
  </w:num>
  <w:num w:numId="20" w16cid:durableId="1124076854">
    <w:abstractNumId w:val="18"/>
  </w:num>
  <w:num w:numId="21" w16cid:durableId="196577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47792">
    <w:abstractNumId w:val="20"/>
  </w:num>
  <w:num w:numId="23" w16cid:durableId="86850900">
    <w:abstractNumId w:val="11"/>
  </w:num>
  <w:num w:numId="24" w16cid:durableId="4704403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5A3"/>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CFF"/>
    <w:rsid w:val="00070F6A"/>
    <w:rsid w:val="00071443"/>
    <w:rsid w:val="00071561"/>
    <w:rsid w:val="0007212F"/>
    <w:rsid w:val="00072F61"/>
    <w:rsid w:val="00073B94"/>
    <w:rsid w:val="0007445B"/>
    <w:rsid w:val="00074626"/>
    <w:rsid w:val="00074995"/>
    <w:rsid w:val="00075227"/>
    <w:rsid w:val="00075303"/>
    <w:rsid w:val="000758D3"/>
    <w:rsid w:val="00075ACC"/>
    <w:rsid w:val="00075C5B"/>
    <w:rsid w:val="0007673A"/>
    <w:rsid w:val="00077303"/>
    <w:rsid w:val="00077946"/>
    <w:rsid w:val="00080A79"/>
    <w:rsid w:val="00080DDF"/>
    <w:rsid w:val="00080FF1"/>
    <w:rsid w:val="000813D9"/>
    <w:rsid w:val="00081E5A"/>
    <w:rsid w:val="00083315"/>
    <w:rsid w:val="00083C88"/>
    <w:rsid w:val="0008514D"/>
    <w:rsid w:val="00085425"/>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B40"/>
    <w:rsid w:val="000B6D8B"/>
    <w:rsid w:val="000C057D"/>
    <w:rsid w:val="000C1A27"/>
    <w:rsid w:val="000C1BE2"/>
    <w:rsid w:val="000C1CC9"/>
    <w:rsid w:val="000C1DDC"/>
    <w:rsid w:val="000C1FA8"/>
    <w:rsid w:val="000C2E12"/>
    <w:rsid w:val="000C2FC5"/>
    <w:rsid w:val="000C50D0"/>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3CC5"/>
    <w:rsid w:val="00114708"/>
    <w:rsid w:val="00115962"/>
    <w:rsid w:val="00115EF0"/>
    <w:rsid w:val="001169F7"/>
    <w:rsid w:val="00117921"/>
    <w:rsid w:val="00117C3B"/>
    <w:rsid w:val="001222B5"/>
    <w:rsid w:val="001244CA"/>
    <w:rsid w:val="00124733"/>
    <w:rsid w:val="001248E4"/>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9793C"/>
    <w:rsid w:val="001A065F"/>
    <w:rsid w:val="001A16DC"/>
    <w:rsid w:val="001A42FD"/>
    <w:rsid w:val="001A539A"/>
    <w:rsid w:val="001A6D5F"/>
    <w:rsid w:val="001A7714"/>
    <w:rsid w:val="001B0114"/>
    <w:rsid w:val="001B027C"/>
    <w:rsid w:val="001B1642"/>
    <w:rsid w:val="001B169B"/>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0FFF"/>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A7E10"/>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C6B35"/>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C40"/>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6D64"/>
    <w:rsid w:val="003A711A"/>
    <w:rsid w:val="003A73DB"/>
    <w:rsid w:val="003B0F16"/>
    <w:rsid w:val="003B1C99"/>
    <w:rsid w:val="003B2303"/>
    <w:rsid w:val="003B4E2B"/>
    <w:rsid w:val="003B586C"/>
    <w:rsid w:val="003B5A9C"/>
    <w:rsid w:val="003B6EEC"/>
    <w:rsid w:val="003B71B1"/>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0FD"/>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AA5"/>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3FB2"/>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3BF"/>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583F"/>
    <w:rsid w:val="00526C42"/>
    <w:rsid w:val="00527537"/>
    <w:rsid w:val="00527643"/>
    <w:rsid w:val="00527F7D"/>
    <w:rsid w:val="005306A6"/>
    <w:rsid w:val="00530E18"/>
    <w:rsid w:val="00531129"/>
    <w:rsid w:val="00531921"/>
    <w:rsid w:val="00531C0C"/>
    <w:rsid w:val="00533435"/>
    <w:rsid w:val="00533BC4"/>
    <w:rsid w:val="00533FE5"/>
    <w:rsid w:val="0053428C"/>
    <w:rsid w:val="00534D30"/>
    <w:rsid w:val="00536081"/>
    <w:rsid w:val="0054105A"/>
    <w:rsid w:val="00541151"/>
    <w:rsid w:val="0054335D"/>
    <w:rsid w:val="005441E1"/>
    <w:rsid w:val="0054638D"/>
    <w:rsid w:val="00546EAC"/>
    <w:rsid w:val="00547466"/>
    <w:rsid w:val="00547ACB"/>
    <w:rsid w:val="005515C7"/>
    <w:rsid w:val="0055259A"/>
    <w:rsid w:val="00552901"/>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10E9"/>
    <w:rsid w:val="005D254F"/>
    <w:rsid w:val="005D39FE"/>
    <w:rsid w:val="005D3A45"/>
    <w:rsid w:val="005D4071"/>
    <w:rsid w:val="005D4397"/>
    <w:rsid w:val="005D50B4"/>
    <w:rsid w:val="005D5A5E"/>
    <w:rsid w:val="005D63E7"/>
    <w:rsid w:val="005D74FD"/>
    <w:rsid w:val="005D7E3B"/>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0AD8"/>
    <w:rsid w:val="00633FEF"/>
    <w:rsid w:val="00636D64"/>
    <w:rsid w:val="006371EB"/>
    <w:rsid w:val="00637525"/>
    <w:rsid w:val="006419C5"/>
    <w:rsid w:val="006420DC"/>
    <w:rsid w:val="00643747"/>
    <w:rsid w:val="00643F33"/>
    <w:rsid w:val="00644DC0"/>
    <w:rsid w:val="00644F38"/>
    <w:rsid w:val="006458DF"/>
    <w:rsid w:val="00645F23"/>
    <w:rsid w:val="006461AD"/>
    <w:rsid w:val="00646A0C"/>
    <w:rsid w:val="006479D5"/>
    <w:rsid w:val="006524F6"/>
    <w:rsid w:val="00653BDA"/>
    <w:rsid w:val="00654801"/>
    <w:rsid w:val="00655CF9"/>
    <w:rsid w:val="0066125B"/>
    <w:rsid w:val="0066145B"/>
    <w:rsid w:val="0066272C"/>
    <w:rsid w:val="00662F8C"/>
    <w:rsid w:val="006653B9"/>
    <w:rsid w:val="006660B1"/>
    <w:rsid w:val="00667704"/>
    <w:rsid w:val="00667C1D"/>
    <w:rsid w:val="006708B4"/>
    <w:rsid w:val="006708C7"/>
    <w:rsid w:val="00673B4A"/>
    <w:rsid w:val="00675E8F"/>
    <w:rsid w:val="00676A46"/>
    <w:rsid w:val="00676FA4"/>
    <w:rsid w:val="00677684"/>
    <w:rsid w:val="006819F9"/>
    <w:rsid w:val="00682A33"/>
    <w:rsid w:val="006836E8"/>
    <w:rsid w:val="006847D5"/>
    <w:rsid w:val="00686970"/>
    <w:rsid w:val="00686A8A"/>
    <w:rsid w:val="006874C9"/>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4C18"/>
    <w:rsid w:val="006E62B4"/>
    <w:rsid w:val="006E6FCE"/>
    <w:rsid w:val="006E7014"/>
    <w:rsid w:val="006E7572"/>
    <w:rsid w:val="006F50C1"/>
    <w:rsid w:val="00702FDB"/>
    <w:rsid w:val="0070550B"/>
    <w:rsid w:val="00705B53"/>
    <w:rsid w:val="00707771"/>
    <w:rsid w:val="00707BDF"/>
    <w:rsid w:val="007113F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954"/>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A14"/>
    <w:rsid w:val="007A1499"/>
    <w:rsid w:val="007A1BE5"/>
    <w:rsid w:val="007A2EB0"/>
    <w:rsid w:val="007A3C1D"/>
    <w:rsid w:val="007A5E6E"/>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262D"/>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78B"/>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5671"/>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E26"/>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8A4"/>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356"/>
    <w:rsid w:val="00AA666F"/>
    <w:rsid w:val="00AA68FE"/>
    <w:rsid w:val="00AB01B9"/>
    <w:rsid w:val="00AB43B2"/>
    <w:rsid w:val="00AC03BA"/>
    <w:rsid w:val="00AC0AC7"/>
    <w:rsid w:val="00AC1D93"/>
    <w:rsid w:val="00AC28D9"/>
    <w:rsid w:val="00AC2D77"/>
    <w:rsid w:val="00AC5628"/>
    <w:rsid w:val="00AD0130"/>
    <w:rsid w:val="00AD0C83"/>
    <w:rsid w:val="00AD1610"/>
    <w:rsid w:val="00AD2BA7"/>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359"/>
    <w:rsid w:val="00B34983"/>
    <w:rsid w:val="00B34E05"/>
    <w:rsid w:val="00B3523D"/>
    <w:rsid w:val="00B35669"/>
    <w:rsid w:val="00B361FD"/>
    <w:rsid w:val="00B368CD"/>
    <w:rsid w:val="00B37F4B"/>
    <w:rsid w:val="00B40A43"/>
    <w:rsid w:val="00B42096"/>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3FD0"/>
    <w:rsid w:val="00B5497C"/>
    <w:rsid w:val="00B555DF"/>
    <w:rsid w:val="00B576BB"/>
    <w:rsid w:val="00B6032C"/>
    <w:rsid w:val="00B6153C"/>
    <w:rsid w:val="00B6156E"/>
    <w:rsid w:val="00B644E5"/>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2197"/>
    <w:rsid w:val="00B93553"/>
    <w:rsid w:val="00B95BB0"/>
    <w:rsid w:val="00B962DC"/>
    <w:rsid w:val="00B967AE"/>
    <w:rsid w:val="00BA0774"/>
    <w:rsid w:val="00BA0B35"/>
    <w:rsid w:val="00BA117B"/>
    <w:rsid w:val="00BA4792"/>
    <w:rsid w:val="00BA6204"/>
    <w:rsid w:val="00BA7046"/>
    <w:rsid w:val="00BA775F"/>
    <w:rsid w:val="00BB042A"/>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299"/>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4949"/>
    <w:rsid w:val="00C05119"/>
    <w:rsid w:val="00C0513B"/>
    <w:rsid w:val="00C057EB"/>
    <w:rsid w:val="00C05D7E"/>
    <w:rsid w:val="00C063B7"/>
    <w:rsid w:val="00C0730C"/>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6089"/>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01E7"/>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33E"/>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1ED3"/>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5901"/>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364F8"/>
    <w:rsid w:val="00E40116"/>
    <w:rsid w:val="00E4049C"/>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3BAA"/>
    <w:rsid w:val="00F14F2D"/>
    <w:rsid w:val="00F15371"/>
    <w:rsid w:val="00F16E65"/>
    <w:rsid w:val="00F17185"/>
    <w:rsid w:val="00F171A8"/>
    <w:rsid w:val="00F17269"/>
    <w:rsid w:val="00F20552"/>
    <w:rsid w:val="00F21BF2"/>
    <w:rsid w:val="00F225D4"/>
    <w:rsid w:val="00F27BF5"/>
    <w:rsid w:val="00F30ADD"/>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3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A5E8-AB31-4751-8FA6-34BCE3CD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4474</Words>
  <Characters>30661</Characters>
  <Application>Microsoft Office Word</Application>
  <DocSecurity>0</DocSecurity>
  <Lines>255</Lines>
  <Paragraphs>70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35065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82</cp:revision>
  <dcterms:created xsi:type="dcterms:W3CDTF">2025-08-11T08:07:00Z</dcterms:created>
  <dcterms:modified xsi:type="dcterms:W3CDTF">2026-05-15T07:05:00Z</dcterms:modified>
</cp:coreProperties>
</file>