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382BD08D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D8569F">
        <w:rPr>
          <w:b/>
          <w:bCs/>
        </w:rPr>
        <w:t>09</w:t>
      </w:r>
      <w:r w:rsidR="0009045E" w:rsidRPr="00714B04">
        <w:rPr>
          <w:b/>
          <w:bCs/>
        </w:rPr>
        <w:t xml:space="preserve">» </w:t>
      </w:r>
      <w:r w:rsidR="00D8569F">
        <w:rPr>
          <w:b/>
          <w:bCs/>
        </w:rPr>
        <w:t>июля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0FF39AA7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D8569F">
        <w:rPr>
          <w:b/>
          <w:bCs/>
        </w:rPr>
        <w:t>12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5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D8569F">
        <w:rPr>
          <w:b/>
          <w:bCs/>
        </w:rPr>
        <w:t>28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567328DF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D8569F">
        <w:rPr>
          <w:b/>
          <w:bCs/>
        </w:rPr>
        <w:t>28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3487407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D8569F">
        <w:rPr>
          <w:b/>
          <w:bCs/>
        </w:rPr>
        <w:t>08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D8569F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745201A6" w14:textId="77777777" w:rsidR="00DA06FD" w:rsidRDefault="00412116" w:rsidP="00DA06FD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8B6536" w:rsidRPr="008B6536">
        <w:rPr>
          <w:b/>
        </w:rPr>
        <w:t>, реализуемое единым лотом (далее – «Объект», «Лот»)</w:t>
      </w:r>
      <w:r>
        <w:rPr>
          <w:b/>
        </w:rPr>
        <w:t>:</w:t>
      </w:r>
    </w:p>
    <w:p w14:paraId="35F1CE03" w14:textId="77777777" w:rsidR="00DA06FD" w:rsidRDefault="00DA06FD" w:rsidP="00DA06FD">
      <w:pPr>
        <w:ind w:firstLine="567"/>
        <w:jc w:val="both"/>
        <w:rPr>
          <w:b/>
        </w:rPr>
      </w:pPr>
    </w:p>
    <w:p w14:paraId="6BB29A08" w14:textId="09164215" w:rsidR="00DA06FD" w:rsidRPr="00DA06FD" w:rsidRDefault="00DA06FD" w:rsidP="00DA06FD">
      <w:pPr>
        <w:ind w:firstLine="567"/>
        <w:jc w:val="both"/>
        <w:rPr>
          <w:b/>
        </w:rPr>
      </w:pPr>
      <w:r w:rsidRPr="00DA06FD">
        <w:rPr>
          <w:b/>
          <w:bCs/>
        </w:rPr>
        <w:t>Здание</w:t>
      </w:r>
      <w:r w:rsidRPr="00DA06FD">
        <w:t xml:space="preserve">, </w:t>
      </w:r>
      <w:bookmarkStart w:id="0" w:name="_Hlk98872098"/>
      <w:r w:rsidRPr="00DA06FD">
        <w:t>наименование: здание (банк), назначение: нежилое,</w:t>
      </w:r>
      <w:bookmarkEnd w:id="0"/>
      <w:r w:rsidRPr="00DA06FD">
        <w:rPr>
          <w:b/>
        </w:rPr>
        <w:t xml:space="preserve"> </w:t>
      </w:r>
      <w:r w:rsidRPr="00DA06FD">
        <w:rPr>
          <w:bCs/>
        </w:rPr>
        <w:t xml:space="preserve">расположенное по адресу: Российская Федерация, Новосибирская область, </w:t>
      </w:r>
      <w:proofErr w:type="spellStart"/>
      <w:r w:rsidRPr="00DA06FD">
        <w:rPr>
          <w:bCs/>
        </w:rPr>
        <w:t>г.о</w:t>
      </w:r>
      <w:proofErr w:type="spellEnd"/>
      <w:r w:rsidRPr="00DA06FD">
        <w:rPr>
          <w:bCs/>
        </w:rPr>
        <w:t xml:space="preserve">. город Новосибирск, г. Новосибирск, ул. Дуси Ковальчук, д. 258/1, площадью 1107,8 </w:t>
      </w:r>
      <w:proofErr w:type="spellStart"/>
      <w:r w:rsidRPr="00DA06FD">
        <w:rPr>
          <w:bCs/>
        </w:rPr>
        <w:t>кв.м</w:t>
      </w:r>
      <w:proofErr w:type="spellEnd"/>
      <w:r w:rsidRPr="00DA06FD">
        <w:rPr>
          <w:bCs/>
        </w:rPr>
        <w:t>, с кадастровым номером 54:35:032700:1654, количество этажей: 4, в том числе подземных 1 (далее – «</w:t>
      </w:r>
      <w:r w:rsidRPr="00DA06FD">
        <w:rPr>
          <w:b/>
        </w:rPr>
        <w:t>Здание</w:t>
      </w:r>
      <w:r w:rsidRPr="00DA06FD">
        <w:rPr>
          <w:bCs/>
        </w:rPr>
        <w:t>»)</w:t>
      </w:r>
      <w:r w:rsidRPr="00DA06FD">
        <w:rPr>
          <w:bCs/>
          <w:iCs/>
        </w:rPr>
        <w:t>;</w:t>
      </w:r>
    </w:p>
    <w:p w14:paraId="21FDDE7B" w14:textId="3DCC251C" w:rsidR="00784C2C" w:rsidRPr="00DA06FD" w:rsidRDefault="00DA06FD" w:rsidP="00DA06FD">
      <w:pPr>
        <w:ind w:firstLine="567"/>
        <w:jc w:val="both"/>
      </w:pPr>
      <w:r w:rsidRPr="00DA06FD">
        <w:rPr>
          <w:b/>
          <w:bCs/>
        </w:rPr>
        <w:t>Земельный участок</w:t>
      </w:r>
      <w:r w:rsidRPr="00DA06FD">
        <w:t>, категория земель: земли населенных пунктов, вид разрешенного использования: под административное здание,</w:t>
      </w:r>
      <w:r w:rsidRPr="00DA06FD">
        <w:rPr>
          <w:b/>
        </w:rPr>
        <w:t xml:space="preserve"> </w:t>
      </w:r>
      <w:r w:rsidRPr="00DA06FD">
        <w:rPr>
          <w:bCs/>
        </w:rPr>
        <w:t xml:space="preserve">Местоположение установлено относительно ориентира, расположенного в границах участка. Ориентир административное здание. Почтовый адрес ориентира: обл. Новосибирская, г. Новосибирск, ул. Дуси Ковальчук, 258/1, площадью 1050 </w:t>
      </w:r>
      <w:proofErr w:type="spellStart"/>
      <w:r w:rsidRPr="00DA06FD">
        <w:rPr>
          <w:bCs/>
        </w:rPr>
        <w:t>кв.м</w:t>
      </w:r>
      <w:proofErr w:type="spellEnd"/>
      <w:r w:rsidRPr="00DA06FD">
        <w:rPr>
          <w:bCs/>
        </w:rPr>
        <w:t>, с кадастровым номером 54:35:032700:25 (далее – «</w:t>
      </w:r>
      <w:r w:rsidRPr="00DA06FD">
        <w:rPr>
          <w:b/>
        </w:rPr>
        <w:t>Земельный участок</w:t>
      </w:r>
      <w:r w:rsidRPr="00DA06FD">
        <w:rPr>
          <w:bCs/>
        </w:rPr>
        <w:t>»)</w:t>
      </w:r>
      <w:r w:rsidRPr="00DA06FD">
        <w:rPr>
          <w:bCs/>
          <w:iCs/>
        </w:rPr>
        <w:t>.</w:t>
      </w:r>
    </w:p>
    <w:p w14:paraId="1C9C3EF2" w14:textId="77777777" w:rsidR="00871172" w:rsidRPr="00D8569F" w:rsidRDefault="00871172" w:rsidP="00A93FF1">
      <w:pPr>
        <w:tabs>
          <w:tab w:val="left" w:pos="1134"/>
        </w:tabs>
        <w:ind w:right="-57"/>
        <w:contextualSpacing/>
        <w:jc w:val="both"/>
        <w:rPr>
          <w:highlight w:val="yellow"/>
        </w:rPr>
      </w:pPr>
    </w:p>
    <w:p w14:paraId="01E801E4" w14:textId="0E87FAFC" w:rsidR="00DA06FD" w:rsidRPr="00DA06FD" w:rsidRDefault="00DA06FD" w:rsidP="00DA06FD">
      <w:pPr>
        <w:ind w:right="-57" w:firstLine="709"/>
        <w:jc w:val="both"/>
        <w:rPr>
          <w:b/>
          <w:u w:val="single"/>
        </w:rPr>
      </w:pPr>
      <w:bookmarkStart w:id="1" w:name="_Hlk192672001"/>
      <w:r w:rsidRPr="00DA06FD">
        <w:rPr>
          <w:b/>
          <w:u w:val="single"/>
        </w:rPr>
        <w:t>В отношении Земельного участка установлены следующие ограничения:</w:t>
      </w:r>
    </w:p>
    <w:p w14:paraId="7B09A485" w14:textId="77777777" w:rsidR="00DA06FD" w:rsidRPr="00DA06FD" w:rsidRDefault="00DA06FD" w:rsidP="00DA06FD">
      <w:pPr>
        <w:numPr>
          <w:ilvl w:val="0"/>
          <w:numId w:val="3"/>
        </w:numPr>
        <w:ind w:left="0" w:right="-57" w:firstLine="709"/>
        <w:jc w:val="both"/>
        <w:rPr>
          <w:bCs/>
        </w:rPr>
      </w:pPr>
      <w:r w:rsidRPr="00DA06FD">
        <w:rPr>
          <w:bCs/>
        </w:rPr>
        <w:t xml:space="preserve">Учетный номер части земельного участка 54:35:032700:25/1, площадью 145 </w:t>
      </w:r>
      <w:proofErr w:type="spellStart"/>
      <w:r w:rsidRPr="00DA06FD">
        <w:rPr>
          <w:bCs/>
        </w:rPr>
        <w:t>кв.м</w:t>
      </w:r>
      <w:proofErr w:type="spellEnd"/>
      <w:r w:rsidRPr="00DA06FD">
        <w:rPr>
          <w:bCs/>
          <w:lang w:val="en-US"/>
        </w:rPr>
        <w:t>:</w:t>
      </w:r>
    </w:p>
    <w:p w14:paraId="75ED9D09" w14:textId="25216E0F" w:rsidR="00DA06FD" w:rsidRPr="00DA06FD" w:rsidRDefault="00DA06FD" w:rsidP="00DA06FD">
      <w:pPr>
        <w:ind w:right="-57" w:firstLine="709"/>
        <w:jc w:val="both"/>
        <w:rPr>
          <w:bCs/>
        </w:rPr>
      </w:pPr>
      <w:r w:rsidRPr="00DA06FD">
        <w:rPr>
          <w:bCs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Ограничения использования объектов недвижимости в границах охранной зоны линии электропередач установлены в соответствии с п.8-15 </w:t>
      </w:r>
      <w:r w:rsidRPr="00DA06FD">
        <w:rPr>
          <w:rFonts w:ascii="Cambria Math" w:hAnsi="Cambria Math" w:cs="Cambria Math"/>
          <w:bCs/>
        </w:rPr>
        <w:t>≪</w:t>
      </w:r>
      <w:r w:rsidRPr="00DA06FD">
        <w:rPr>
          <w:bCs/>
        </w:rPr>
        <w:t>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DA06FD">
        <w:rPr>
          <w:rFonts w:ascii="Cambria Math" w:hAnsi="Cambria Math" w:cs="Cambria Math"/>
          <w:bCs/>
        </w:rPr>
        <w:t>≫</w:t>
      </w:r>
      <w:r w:rsidRPr="00DA06FD">
        <w:rPr>
          <w:bCs/>
        </w:rPr>
        <w:t xml:space="preserve">, утвержденных Постановлением Правительства РФ № 160 от 24.02.2009 г. (в ред. от 26.08.2013г.) </w:t>
      </w:r>
      <w:r w:rsidRPr="00DA06FD">
        <w:rPr>
          <w:rFonts w:ascii="Cambria Math" w:hAnsi="Cambria Math" w:cs="Cambria Math"/>
          <w:bCs/>
        </w:rPr>
        <w:t>≪</w:t>
      </w:r>
      <w:r w:rsidRPr="00DA06FD">
        <w:rPr>
          <w:bCs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DA06FD">
        <w:rPr>
          <w:rFonts w:ascii="Cambria Math" w:hAnsi="Cambria Math" w:cs="Cambria Math"/>
          <w:bCs/>
        </w:rPr>
        <w:t>≫</w:t>
      </w:r>
      <w:r w:rsidRPr="00DA06FD">
        <w:rPr>
          <w:bCs/>
        </w:rPr>
        <w:t>; Реестровый номер границы: 54.35.2.2888.</w:t>
      </w:r>
    </w:p>
    <w:p w14:paraId="6E1C798B" w14:textId="77777777" w:rsidR="00DA06FD" w:rsidRPr="00DA06FD" w:rsidRDefault="00DA06FD" w:rsidP="00DA06FD">
      <w:pPr>
        <w:numPr>
          <w:ilvl w:val="0"/>
          <w:numId w:val="3"/>
        </w:numPr>
        <w:ind w:left="0" w:right="-57" w:firstLine="709"/>
        <w:jc w:val="both"/>
        <w:rPr>
          <w:bCs/>
        </w:rPr>
      </w:pPr>
      <w:r w:rsidRPr="00DA06FD">
        <w:rPr>
          <w:bCs/>
        </w:rPr>
        <w:t xml:space="preserve">Учетный номер части земельного участка 54:35:032700:25/2, площадью 110 </w:t>
      </w:r>
      <w:proofErr w:type="spellStart"/>
      <w:r w:rsidRPr="00DA06FD">
        <w:rPr>
          <w:bCs/>
        </w:rPr>
        <w:t>кв.м</w:t>
      </w:r>
      <w:proofErr w:type="spellEnd"/>
      <w:r w:rsidRPr="00DA06FD">
        <w:rPr>
          <w:bCs/>
          <w:lang w:val="en-US"/>
        </w:rPr>
        <w:t>:</w:t>
      </w:r>
    </w:p>
    <w:p w14:paraId="3597A9A4" w14:textId="1653BA5E" w:rsidR="00DA06FD" w:rsidRPr="00DA06FD" w:rsidRDefault="00DA06FD" w:rsidP="00DA06FD">
      <w:pPr>
        <w:ind w:right="-57" w:firstLine="709"/>
        <w:jc w:val="both"/>
        <w:rPr>
          <w:bCs/>
        </w:rPr>
      </w:pPr>
      <w:r w:rsidRPr="00DA06FD">
        <w:rPr>
          <w:bCs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</w:t>
      </w:r>
      <w:r w:rsidRPr="00DA06FD">
        <w:rPr>
          <w:bCs/>
        </w:rPr>
        <w:lastRenderedPageBreak/>
        <w:t xml:space="preserve">(обременения): Ограничения (обременения), устанавливаемые на входящие в границы охранной зоны земельные участки в соответствии с </w:t>
      </w:r>
      <w:proofErr w:type="spellStart"/>
      <w:r w:rsidRPr="00DA06FD">
        <w:rPr>
          <w:bCs/>
        </w:rPr>
        <w:t>п.п</w:t>
      </w:r>
      <w:proofErr w:type="spellEnd"/>
      <w:r w:rsidRPr="00DA06FD">
        <w:rPr>
          <w:bCs/>
        </w:rPr>
        <w:t xml:space="preserve">. 8, 9, 10 Постановления Правительства РФ от 24 февраля 2009 г. № 160 </w:t>
      </w:r>
      <w:r w:rsidRPr="00DA06FD">
        <w:rPr>
          <w:rFonts w:ascii="Cambria Math" w:hAnsi="Cambria Math" w:cs="Cambria Math"/>
          <w:bCs/>
        </w:rPr>
        <w:t>≪</w:t>
      </w:r>
      <w:r w:rsidRPr="00DA06FD">
        <w:rPr>
          <w:bCs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DA06FD">
        <w:rPr>
          <w:rFonts w:ascii="Cambria Math" w:hAnsi="Cambria Math" w:cs="Cambria Math"/>
          <w:bCs/>
        </w:rPr>
        <w:t>≫</w:t>
      </w:r>
      <w:r w:rsidRPr="00DA06FD">
        <w:rPr>
          <w:bCs/>
        </w:rPr>
        <w:t xml:space="preserve">: 8. </w:t>
      </w:r>
      <w:r w:rsidRPr="00DA06FD">
        <w:rPr>
          <w:rFonts w:ascii="Cambria Math" w:hAnsi="Cambria Math" w:cs="Cambria Math"/>
          <w:bCs/>
        </w:rPr>
        <w:t>≪</w:t>
      </w:r>
      <w:r w:rsidRPr="00DA06FD">
        <w:rPr>
          <w:bCs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2 Сведения об объекте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</w:t>
      </w:r>
      <w:proofErr w:type="spellStart"/>
      <w:r w:rsidRPr="00DA06FD">
        <w:rPr>
          <w:bCs/>
        </w:rPr>
        <w:t>горючесмазочных</w:t>
      </w:r>
      <w:proofErr w:type="spellEnd"/>
      <w:r w:rsidRPr="00DA06FD">
        <w:rPr>
          <w:bCs/>
        </w:rPr>
        <w:t xml:space="preserve">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r w:rsidRPr="00DA06FD">
        <w:rPr>
          <w:bCs/>
        </w:rPr>
        <w:t>погрузочноразгрузочные</w:t>
      </w:r>
      <w:proofErr w:type="spellEnd"/>
      <w:r w:rsidRPr="00DA06FD">
        <w:rPr>
          <w:bCs/>
        </w:rPr>
        <w:t xml:space="preserve">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3 Сведения об объекте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</w:t>
      </w:r>
      <w:r w:rsidRPr="00DA06FD">
        <w:rPr>
          <w:bCs/>
        </w:rPr>
        <w:lastRenderedPageBreak/>
        <w:t>электропередачи).; Реестровый номер границы: 54:35-6.5558; Вид объекта реестра границ: Зона с особыми условиями использования территории; Вид зоны по документу: Охранная зона КАБЕЛЬНЫЕ ЛИНИИ 04КВ ОТ ТП 907; Тип зоны: Охранная зона инженерных коммуникаций.</w:t>
      </w:r>
    </w:p>
    <w:p w14:paraId="3B1B5B0D" w14:textId="77777777" w:rsidR="00DA06FD" w:rsidRPr="00DA06FD" w:rsidRDefault="00DA06FD" w:rsidP="00DA06FD">
      <w:pPr>
        <w:numPr>
          <w:ilvl w:val="0"/>
          <w:numId w:val="3"/>
        </w:numPr>
        <w:ind w:left="0" w:right="-57" w:firstLine="709"/>
        <w:jc w:val="both"/>
        <w:rPr>
          <w:bCs/>
        </w:rPr>
      </w:pPr>
      <w:r w:rsidRPr="00DA06FD">
        <w:rPr>
          <w:bCs/>
        </w:rPr>
        <w:t xml:space="preserve">Учетный номер части земельного участка 54:35:032700:25/3, площадью 78 </w:t>
      </w:r>
      <w:proofErr w:type="spellStart"/>
      <w:r w:rsidRPr="00DA06FD">
        <w:rPr>
          <w:bCs/>
        </w:rPr>
        <w:t>кв.м</w:t>
      </w:r>
      <w:proofErr w:type="spellEnd"/>
      <w:r w:rsidRPr="00DA06FD">
        <w:rPr>
          <w:bCs/>
          <w:lang w:val="en-US"/>
        </w:rPr>
        <w:t>:</w:t>
      </w:r>
    </w:p>
    <w:p w14:paraId="2380CDB4" w14:textId="77777777" w:rsidR="00DA06FD" w:rsidRPr="00DA06FD" w:rsidRDefault="00DA06FD" w:rsidP="00DA06FD">
      <w:pPr>
        <w:ind w:right="-57" w:firstLine="709"/>
        <w:jc w:val="both"/>
        <w:rPr>
          <w:bCs/>
        </w:rPr>
      </w:pPr>
      <w:r w:rsidRPr="00DA06FD">
        <w:rPr>
          <w:bCs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</w:t>
      </w:r>
      <w:proofErr w:type="spellStart"/>
      <w:r w:rsidRPr="00DA06FD">
        <w:rPr>
          <w:bCs/>
        </w:rPr>
        <w:t>граничения</w:t>
      </w:r>
      <w:proofErr w:type="spellEnd"/>
      <w:r w:rsidRPr="00DA06FD">
        <w:rPr>
          <w:bCs/>
        </w:rPr>
        <w:t xml:space="preserve"> (обременения), устанавливаемые на входящие в границы охранной зоны земельные участки в соответствии с </w:t>
      </w:r>
      <w:proofErr w:type="spellStart"/>
      <w:r w:rsidRPr="00DA06FD">
        <w:rPr>
          <w:bCs/>
        </w:rPr>
        <w:t>п.п</w:t>
      </w:r>
      <w:proofErr w:type="spellEnd"/>
      <w:r w:rsidRPr="00DA06FD">
        <w:rPr>
          <w:bCs/>
        </w:rPr>
        <w:t xml:space="preserve">. 8, 9, 10 Постановления Правительства РФ от 24 февраля 2009 г. № 160 </w:t>
      </w:r>
      <w:r w:rsidRPr="00DA06FD">
        <w:rPr>
          <w:rFonts w:ascii="Cambria Math" w:hAnsi="Cambria Math" w:cs="Cambria Math"/>
          <w:bCs/>
        </w:rPr>
        <w:t>≪</w:t>
      </w:r>
      <w:r w:rsidRPr="00DA06FD">
        <w:rPr>
          <w:bCs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DA06FD">
        <w:rPr>
          <w:rFonts w:ascii="Cambria Math" w:hAnsi="Cambria Math" w:cs="Cambria Math"/>
          <w:bCs/>
        </w:rPr>
        <w:t>≫</w:t>
      </w:r>
      <w:r w:rsidRPr="00DA06FD">
        <w:rPr>
          <w:bCs/>
        </w:rPr>
        <w:t xml:space="preserve">: 8. </w:t>
      </w:r>
      <w:r w:rsidRPr="00DA06FD">
        <w:rPr>
          <w:rFonts w:ascii="Cambria Math" w:hAnsi="Cambria Math" w:cs="Cambria Math"/>
          <w:bCs/>
        </w:rPr>
        <w:t>≪</w:t>
      </w:r>
      <w:r w:rsidRPr="00DA06FD">
        <w:rPr>
          <w:bCs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2 Сведения об объекте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</w:t>
      </w:r>
      <w:proofErr w:type="spellStart"/>
      <w:r w:rsidRPr="00DA06FD">
        <w:rPr>
          <w:bCs/>
        </w:rPr>
        <w:t>горючесмазочных</w:t>
      </w:r>
      <w:proofErr w:type="spellEnd"/>
      <w:r w:rsidRPr="00DA06FD">
        <w:rPr>
          <w:bCs/>
        </w:rPr>
        <w:t xml:space="preserve">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r w:rsidRPr="00DA06FD">
        <w:rPr>
          <w:bCs/>
        </w:rPr>
        <w:t>погрузочноразгрузочные</w:t>
      </w:r>
      <w:proofErr w:type="spellEnd"/>
      <w:r w:rsidRPr="00DA06FD">
        <w:rPr>
          <w:bCs/>
        </w:rPr>
        <w:t xml:space="preserve">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3 Сведения об объекте максимального уровня </w:t>
      </w:r>
      <w:r w:rsidRPr="00DA06FD">
        <w:rPr>
          <w:bCs/>
        </w:rPr>
        <w:lastRenderedPageBreak/>
        <w:t>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электропередачи).; Реестровый номер границы: 54:35-6.5858; Вид объекта реестра границ: Зона с особыми условиями использования территории; Вид зоны по документу: Охранная зона КАБЕЛЬНЫЕ ЛИНИИ 04КВ ОТ ТП 910; Тип зоны: Охранная зона инженерных коммуникаций.</w:t>
      </w:r>
    </w:p>
    <w:p w14:paraId="1567A9CB" w14:textId="77777777" w:rsidR="00DA06FD" w:rsidRDefault="00DA06FD" w:rsidP="00C45CDD">
      <w:pPr>
        <w:ind w:right="-57" w:firstLine="709"/>
        <w:jc w:val="both"/>
        <w:rPr>
          <w:b/>
          <w:highlight w:val="yellow"/>
          <w:u w:val="single"/>
        </w:rPr>
      </w:pPr>
    </w:p>
    <w:p w14:paraId="2379A199" w14:textId="18790D47" w:rsidR="00061E6E" w:rsidRPr="00D8569F" w:rsidRDefault="00061E6E" w:rsidP="00C45CDD">
      <w:pPr>
        <w:ind w:right="-57" w:firstLine="709"/>
        <w:jc w:val="both"/>
        <w:rPr>
          <w:highlight w:val="yellow"/>
          <w:u w:val="single"/>
        </w:rPr>
      </w:pPr>
      <w:r w:rsidRPr="00DA06FD">
        <w:rPr>
          <w:b/>
          <w:u w:val="single"/>
        </w:rPr>
        <w:t>Для сведения по Лоту:</w:t>
      </w:r>
      <w:r w:rsidRPr="00DA06FD">
        <w:rPr>
          <w:u w:val="single"/>
        </w:rPr>
        <w:t xml:space="preserve"> </w:t>
      </w:r>
    </w:p>
    <w:bookmarkEnd w:id="1"/>
    <w:p w14:paraId="3574D593" w14:textId="77777777" w:rsidR="00DA06FD" w:rsidRPr="00DA06FD" w:rsidRDefault="00DA06FD" w:rsidP="00DA06FD">
      <w:pPr>
        <w:ind w:firstLine="709"/>
        <w:jc w:val="both"/>
        <w:rPr>
          <w:u w:val="single"/>
        </w:rPr>
      </w:pPr>
      <w:r w:rsidRPr="00DA06FD">
        <w:rPr>
          <w:u w:val="single"/>
        </w:rPr>
        <w:t>В отношении Здания:</w:t>
      </w:r>
    </w:p>
    <w:p w14:paraId="5E322C5C" w14:textId="77777777" w:rsidR="00DA06FD" w:rsidRPr="00DA06FD" w:rsidRDefault="00DA06FD" w:rsidP="00DA06FD">
      <w:pPr>
        <w:numPr>
          <w:ilvl w:val="0"/>
          <w:numId w:val="2"/>
        </w:numPr>
        <w:ind w:left="0" w:firstLine="709"/>
        <w:jc w:val="both"/>
        <w:rPr>
          <w:bCs/>
        </w:rPr>
      </w:pPr>
      <w:r w:rsidRPr="00DA06FD">
        <w:rPr>
          <w:bCs/>
        </w:rPr>
        <w:t>В Здании возможно наличие перепланировок, не согласованных и не зарегистрированных установленных образом, площадь Объекта по сведениям ЕГРН может отличаться от фактической.</w:t>
      </w:r>
    </w:p>
    <w:p w14:paraId="45DCBBF5" w14:textId="77777777" w:rsidR="00DA06FD" w:rsidRPr="00DA06FD" w:rsidRDefault="00DA06FD" w:rsidP="00DA06FD">
      <w:pPr>
        <w:ind w:firstLine="709"/>
        <w:jc w:val="both"/>
        <w:rPr>
          <w:u w:val="single"/>
          <w:lang w:val="en-US"/>
        </w:rPr>
      </w:pPr>
      <w:r w:rsidRPr="00DA06FD">
        <w:rPr>
          <w:u w:val="single"/>
        </w:rPr>
        <w:t>В отношении Земельного участка</w:t>
      </w:r>
      <w:r w:rsidRPr="00DA06FD">
        <w:rPr>
          <w:u w:val="single"/>
          <w:lang w:val="en-US"/>
        </w:rPr>
        <w:t>:</w:t>
      </w:r>
    </w:p>
    <w:p w14:paraId="40238D7B" w14:textId="77777777" w:rsidR="00DA06FD" w:rsidRPr="00DA06FD" w:rsidRDefault="00DA06FD" w:rsidP="00DA06FD">
      <w:pPr>
        <w:numPr>
          <w:ilvl w:val="0"/>
          <w:numId w:val="2"/>
        </w:numPr>
        <w:ind w:left="0" w:firstLine="709"/>
        <w:jc w:val="both"/>
        <w:rPr>
          <w:bCs/>
        </w:rPr>
      </w:pPr>
      <w:r w:rsidRPr="00DA06FD">
        <w:rPr>
          <w:bCs/>
        </w:rPr>
        <w:t>Кадастровые номера расположенных в пределах Земельного участка объектов недвижимости: 54:35:032700:1654, 54:35:000000:42815, 54:35:032700:2580, 54:35:000000:47440</w:t>
      </w:r>
    </w:p>
    <w:p w14:paraId="2EF77B9B" w14:textId="0F5DCD6C" w:rsidR="00DA06FD" w:rsidRPr="00DA06FD" w:rsidRDefault="00DA06FD" w:rsidP="00DA06FD">
      <w:pPr>
        <w:numPr>
          <w:ilvl w:val="0"/>
          <w:numId w:val="2"/>
        </w:numPr>
        <w:ind w:left="0" w:firstLine="709"/>
        <w:jc w:val="both"/>
        <w:rPr>
          <w:bCs/>
        </w:rPr>
      </w:pPr>
      <w:r w:rsidRPr="00DA06FD">
        <w:rPr>
          <w:bCs/>
        </w:rPr>
        <w:t>Особые отметки в Едином государственном реестре недвижимости:</w:t>
      </w:r>
    </w:p>
    <w:p w14:paraId="674DAD91" w14:textId="77777777" w:rsidR="00DA06FD" w:rsidRPr="00DA06FD" w:rsidRDefault="00DA06FD" w:rsidP="00DA06FD">
      <w:pPr>
        <w:ind w:firstLine="709"/>
        <w:jc w:val="both"/>
      </w:pPr>
      <w:r w:rsidRPr="00DA06FD"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06.05.2020; реквизиты документа-основания: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23.06.2021;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20.07.2021;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</w:t>
      </w:r>
    </w:p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65A5782B" w:rsidR="00223F15" w:rsidRPr="00DA06FD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r w:rsidR="00DA06FD" w:rsidRPr="00DA06FD">
        <w:rPr>
          <w:b/>
          <w:bCs/>
        </w:rPr>
        <w:t xml:space="preserve">92 253 000 (Девяносто два миллиона двести пятьдесят три тысячи) </w:t>
      </w:r>
      <w:r w:rsidR="005526E8" w:rsidRPr="00DA06FD">
        <w:rPr>
          <w:b/>
        </w:rPr>
        <w:t>рублей 00 копеек</w:t>
      </w:r>
      <w:r w:rsidR="00A56479" w:rsidRPr="00DA06FD">
        <w:rPr>
          <w:b/>
          <w:bCs/>
        </w:rPr>
        <w:t xml:space="preserve"> (с учетом</w:t>
      </w:r>
      <w:r w:rsidRPr="00DA06FD">
        <w:rPr>
          <w:b/>
          <w:bCs/>
        </w:rPr>
        <w:t xml:space="preserve"> НДС</w:t>
      </w:r>
      <w:r w:rsidR="00A56479" w:rsidRPr="00DA06FD">
        <w:rPr>
          <w:b/>
          <w:bCs/>
        </w:rPr>
        <w:t>)</w:t>
      </w:r>
      <w:r w:rsidR="00412116" w:rsidRPr="00DA06FD">
        <w:rPr>
          <w:b/>
          <w:bCs/>
        </w:rPr>
        <w:t>.</w:t>
      </w:r>
    </w:p>
    <w:p w14:paraId="040B67B5" w14:textId="77777777" w:rsidR="00C03A6E" w:rsidRPr="00DA06FD" w:rsidRDefault="00C03A6E" w:rsidP="00223F15">
      <w:pPr>
        <w:ind w:right="-57"/>
        <w:jc w:val="center"/>
        <w:rPr>
          <w:b/>
          <w:bCs/>
        </w:rPr>
      </w:pPr>
    </w:p>
    <w:p w14:paraId="44963A69" w14:textId="386AC8A0" w:rsidR="00223F15" w:rsidRPr="00DA06FD" w:rsidRDefault="00223F15" w:rsidP="00223F15">
      <w:pPr>
        <w:ind w:right="-57"/>
        <w:jc w:val="center"/>
        <w:rPr>
          <w:b/>
          <w:bCs/>
        </w:rPr>
      </w:pPr>
      <w:r w:rsidRPr="00DA06FD">
        <w:rPr>
          <w:b/>
          <w:bCs/>
        </w:rPr>
        <w:t xml:space="preserve">Задаток – </w:t>
      </w:r>
      <w:r w:rsidR="00DA06FD" w:rsidRPr="00DA06FD">
        <w:rPr>
          <w:b/>
          <w:bCs/>
        </w:rPr>
        <w:t>5 000 000 (Пять миллионов)</w:t>
      </w:r>
      <w:r w:rsidR="001C7D59" w:rsidRPr="00DA06FD">
        <w:rPr>
          <w:b/>
          <w:bCs/>
        </w:rPr>
        <w:t xml:space="preserve"> рублей </w:t>
      </w:r>
      <w:r w:rsidR="00FB2EF8" w:rsidRPr="00DA06FD">
        <w:rPr>
          <w:b/>
          <w:bCs/>
        </w:rPr>
        <w:t>0</w:t>
      </w:r>
      <w:r w:rsidR="00576726" w:rsidRPr="00DA06FD">
        <w:rPr>
          <w:b/>
          <w:bCs/>
        </w:rPr>
        <w:t>0</w:t>
      </w:r>
      <w:r w:rsidRPr="00DA06FD">
        <w:rPr>
          <w:b/>
          <w:bCs/>
        </w:rPr>
        <w:t xml:space="preserve"> копе</w:t>
      </w:r>
      <w:r w:rsidR="00576726" w:rsidRPr="00DA06FD">
        <w:rPr>
          <w:b/>
          <w:bCs/>
        </w:rPr>
        <w:t>ек</w:t>
      </w:r>
      <w:r w:rsidRPr="00DA06FD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DA06FD">
        <w:rPr>
          <w:b/>
        </w:rPr>
        <w:t>Шаг аукциона</w:t>
      </w:r>
      <w:r w:rsidR="00C45CDD" w:rsidRPr="00DA06FD">
        <w:rPr>
          <w:b/>
        </w:rPr>
        <w:t xml:space="preserve"> на повышение</w:t>
      </w:r>
      <w:r w:rsidRPr="00DA06FD">
        <w:rPr>
          <w:b/>
        </w:rPr>
        <w:t xml:space="preserve"> </w:t>
      </w:r>
      <w:r w:rsidR="00223F15" w:rsidRPr="00DA06FD">
        <w:rPr>
          <w:b/>
          <w:bCs/>
        </w:rPr>
        <w:t xml:space="preserve">– </w:t>
      </w:r>
      <w:r w:rsidR="00662B1E" w:rsidRPr="00DA06FD">
        <w:rPr>
          <w:b/>
          <w:bCs/>
        </w:rPr>
        <w:t>50</w:t>
      </w:r>
      <w:r w:rsidR="005526E8" w:rsidRPr="00DA06FD">
        <w:rPr>
          <w:b/>
          <w:bCs/>
        </w:rPr>
        <w:t xml:space="preserve"> 000</w:t>
      </w:r>
      <w:r w:rsidR="005526E8" w:rsidRPr="00D33082">
        <w:rPr>
          <w:b/>
          <w:bCs/>
        </w:rPr>
        <w:t xml:space="preserve"> (</w:t>
      </w:r>
      <w:r w:rsidR="00662B1E" w:rsidRPr="00662B1E">
        <w:rPr>
          <w:b/>
          <w:bCs/>
        </w:rPr>
        <w:t>Пятьдесят</w:t>
      </w:r>
      <w:r w:rsidR="005526E8" w:rsidRPr="00D33082">
        <w:rPr>
          <w:b/>
          <w:bCs/>
        </w:rPr>
        <w:t xml:space="preserve"> тысяч) рублей</w:t>
      </w:r>
      <w:r w:rsidR="00223F15" w:rsidRPr="00FB2EF8">
        <w:rPr>
          <w:b/>
          <w:bCs/>
        </w:rPr>
        <w:t xml:space="preserve"> </w:t>
      </w:r>
      <w:r w:rsidR="00FB2EF8" w:rsidRPr="00FB2EF8">
        <w:rPr>
          <w:b/>
          <w:bCs/>
        </w:rPr>
        <w:t>0</w:t>
      </w:r>
      <w:r w:rsidR="001E6766" w:rsidRPr="00FB2EF8">
        <w:rPr>
          <w:b/>
          <w:bCs/>
        </w:rPr>
        <w:t>0</w:t>
      </w:r>
      <w:r w:rsidR="00223F15" w:rsidRPr="00FB2EF8">
        <w:rPr>
          <w:b/>
          <w:bCs/>
        </w:rPr>
        <w:t xml:space="preserve"> копе</w:t>
      </w:r>
      <w:r w:rsidR="001E6766" w:rsidRPr="00FB2EF8">
        <w:rPr>
          <w:b/>
          <w:bCs/>
        </w:rPr>
        <w:t>ек</w:t>
      </w:r>
      <w:r w:rsidR="005526E8" w:rsidRPr="00D33082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0B93E51B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EF3E0E" w:rsidRPr="00EF3E0E">
        <w:rPr>
          <w:b/>
        </w:rPr>
        <w:t>тел. +7(967) 246-44-19 (мск+4 часа), эл. почта krsk@auction-house.ru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</w:t>
      </w:r>
      <w:r w:rsidRPr="00D33082">
        <w:lastRenderedPageBreak/>
        <w:t xml:space="preserve">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9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</w:t>
      </w:r>
      <w:r w:rsidRPr="00B679F0">
        <w:rPr>
          <w:rFonts w:eastAsia="Calibri"/>
        </w:rPr>
        <w:lastRenderedPageBreak/>
        <w:t xml:space="preserve">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1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lastRenderedPageBreak/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r w:rsidR="00A16D65">
        <w:fldChar w:fldCharType="begin"/>
      </w:r>
      <w:r w:rsidR="00A16D65">
        <w:instrText>HYPERLINK</w:instrText>
      </w:r>
      <w:r w:rsidR="00A16D65" w:rsidRPr="00EF3E0E">
        <w:rPr>
          <w:lang w:val="ru-RU"/>
        </w:rPr>
        <w:instrText xml:space="preserve"> "</w:instrText>
      </w:r>
      <w:r w:rsidR="00A16D65">
        <w:instrText>http</w:instrText>
      </w:r>
      <w:r w:rsidR="00A16D65" w:rsidRPr="00EF3E0E">
        <w:rPr>
          <w:lang w:val="ru-RU"/>
        </w:rPr>
        <w:instrText>://</w:instrText>
      </w:r>
      <w:r w:rsidR="00A16D65">
        <w:instrText>www</w:instrText>
      </w:r>
      <w:r w:rsidR="00A16D65" w:rsidRPr="00EF3E0E">
        <w:rPr>
          <w:lang w:val="ru-RU"/>
        </w:rPr>
        <w:instrText>.</w:instrText>
      </w:r>
      <w:r w:rsidR="00A16D65">
        <w:instrText>lot</w:instrText>
      </w:r>
      <w:r w:rsidR="00A16D65" w:rsidRPr="00EF3E0E">
        <w:rPr>
          <w:lang w:val="ru-RU"/>
        </w:rPr>
        <w:instrText>-</w:instrText>
      </w:r>
      <w:r w:rsidR="00A16D65">
        <w:instrText>online</w:instrText>
      </w:r>
      <w:r w:rsidR="00A16D65" w:rsidRPr="00EF3E0E">
        <w:rPr>
          <w:lang w:val="ru-RU"/>
        </w:rPr>
        <w:instrText>.</w:instrText>
      </w:r>
      <w:r w:rsidR="00A16D65">
        <w:instrText>ru</w:instrText>
      </w:r>
      <w:r w:rsidR="00A16D65" w:rsidRPr="00EF3E0E">
        <w:rPr>
          <w:lang w:val="ru-RU"/>
        </w:rPr>
        <w:instrText>"</w:instrText>
      </w:r>
      <w:r w:rsidR="00A16D65">
        <w:fldChar w:fldCharType="separate"/>
      </w:r>
      <w:r w:rsidR="00A16D65" w:rsidRPr="005C55ED">
        <w:rPr>
          <w:color w:val="0000FF"/>
          <w:u w:val="single"/>
        </w:rPr>
        <w:t>www</w:t>
      </w:r>
      <w:r w:rsidR="00A16D65" w:rsidRPr="00207423">
        <w:rPr>
          <w:color w:val="0000FF"/>
          <w:u w:val="single"/>
          <w:lang w:val="ru-RU"/>
        </w:rPr>
        <w:t>.</w:t>
      </w:r>
      <w:r w:rsidR="00A16D65" w:rsidRPr="005C55ED">
        <w:rPr>
          <w:color w:val="0000FF"/>
          <w:u w:val="single"/>
        </w:rPr>
        <w:t>lot</w:t>
      </w:r>
      <w:r w:rsidR="00A16D65" w:rsidRPr="00207423">
        <w:rPr>
          <w:color w:val="0000FF"/>
          <w:u w:val="single"/>
          <w:lang w:val="ru-RU"/>
        </w:rPr>
        <w:t>-</w:t>
      </w:r>
      <w:r w:rsidR="00A16D65" w:rsidRPr="005C55ED">
        <w:rPr>
          <w:color w:val="0000FF"/>
          <w:u w:val="single"/>
        </w:rPr>
        <w:t>online</w:t>
      </w:r>
      <w:r w:rsidR="00A16D65" w:rsidRPr="00207423">
        <w:rPr>
          <w:color w:val="0000FF"/>
          <w:u w:val="single"/>
          <w:lang w:val="ru-RU"/>
        </w:rPr>
        <w:t>.</w:t>
      </w:r>
      <w:proofErr w:type="spellStart"/>
      <w:r w:rsidR="00A16D65" w:rsidRPr="005C55ED">
        <w:rPr>
          <w:color w:val="0000FF"/>
          <w:u w:val="single"/>
        </w:rPr>
        <w:t>ru</w:t>
      </w:r>
      <w:proofErr w:type="spellEnd"/>
      <w:r w:rsidR="00A16D65">
        <w:fldChar w:fldCharType="end"/>
      </w:r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</w:t>
      </w:r>
      <w:r w:rsidRPr="00437E0B">
        <w:rPr>
          <w:highlight w:val="yellow"/>
        </w:rPr>
        <w:t>: г. Москва, пр. Андропова, д. 18, корп. 2</w:t>
      </w:r>
      <w:r w:rsidRPr="00C208A2">
        <w:t xml:space="preserve">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2F0FE3E3" w14:textId="08AC0ED0" w:rsidR="00EA4640" w:rsidRPr="00276F3B" w:rsidRDefault="00DA1628" w:rsidP="00DA06FD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sectPr w:rsidR="00EA4640" w:rsidRPr="00276F3B" w:rsidSect="00C45CDD">
      <w:headerReference w:type="default" r:id="rId12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FBF81E24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42D2A"/>
    <w:multiLevelType w:val="hybridMultilevel"/>
    <w:tmpl w:val="D7EAA3AA"/>
    <w:lvl w:ilvl="0" w:tplc="CA0470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635383">
    <w:abstractNumId w:val="0"/>
  </w:num>
  <w:num w:numId="3" w16cid:durableId="130249184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29F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6F9A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536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5683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6FD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3E0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6007</Words>
  <Characters>34245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40172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3</cp:revision>
  <cp:lastPrinted>2026-03-18T08:31:00Z</cp:lastPrinted>
  <dcterms:created xsi:type="dcterms:W3CDTF">2026-05-05T07:03:00Z</dcterms:created>
  <dcterms:modified xsi:type="dcterms:W3CDTF">2026-05-05T07:37:00Z</dcterms:modified>
  <cp:version>1048576</cp:version>
</cp:coreProperties>
</file>