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Лобня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лице своего филиала Среднерусского банка,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Центра комплексной поддержки РСЦ Среднерусского банка 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r>
        <w:rPr>
          <w:rFonts w:ascii="Times New Roman" w:hAnsi="Times New Roman"/>
          <w:sz w:val="24"/>
          <w:szCs w:val="24"/>
        </w:rPr>
        <w:t xml:space="preserve">Ереминой</w:t>
      </w:r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за №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реестровый № 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3"/>
        </w:numPr>
        <w:contextualSpacing/>
        <w:ind w:left="0"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Ref14059422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нежилое помещение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1 этаж, общая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щадь 195,2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50:41:0000000:40586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Московская область,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Лобня, ул. Чехова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01-41.2165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24.03.1998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</w:t>
      </w:r>
      <w:r>
        <w:rPr>
          <w:rFonts w:ascii="Times New Roman" w:hAnsi="Times New Roman" w:cs="Times New Roman"/>
          <w:sz w:val="24"/>
          <w:szCs w:val="24"/>
        </w:rPr>
        <w:t xml:space="preserve">КУВИ-001/2024-296806776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101"/>
        <w:numPr>
          <w:ilvl w:val="1"/>
          <w:numId w:val="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Имущества до перехода права собственности на него к Покупателю.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101"/>
        <w:numPr>
          <w:ilvl w:val="1"/>
          <w:numId w:val="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5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0" w:name="undefined"/>
      <w:r>
        <w:rPr>
          <w:rStyle w:val="1104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не позднее 10 (десяти)</w:t>
      </w:r>
      <w:permStart w:displacedbyCustomXml="next" w:edGrp="everyone" w:id="undefined"/>
      <w:r/>
      <w:permEnd w:displacedbyCustomXml="next" w:id="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0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3" w:name="_Ref48632848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Недвижимое имущество переходит к Покупателю с момента государственной регистрации перехода права собственности в органе,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 xml:space="preserve">орган регистрации прав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»</w:t>
      </w:r>
      <w:bookmarkStart w:id="4" w:name="_Ref82097368"/>
      <w:r/>
      <w:bookmarkStart w:id="5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r/>
      <w:bookmarkEnd w:id="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6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денежные средства в течение 5 (пяти) рабочих дней с даты подписания данного акта приема-передачи (возврата)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мущества.</w:t>
      </w:r>
      <w:bookmarkEnd w:id="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40"/>
        </w:numPr>
        <w:contextualSpacing/>
        <w:ind w:firstLine="272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bookmarkStart w:id="7" w:name="_Ref48633485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8" w:name="_Ref12149460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стоимость Имущества по Договору </w:t>
      </w:r>
      <w:bookmarkEnd w:id="7"/>
      <w:r/>
      <w:bookmarkEnd w:id="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составляет: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кроме того НДС (22 %) в размере ________ (____________)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итого с учетом НДС: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9" w:name="_Ref17967631"/>
      <w:r/>
      <w:bookmarkStart w:id="10" w:name="_Ref486334738"/>
      <w:r>
        <w:rPr>
          <w:rFonts w:ascii="Times New Roman" w:hAnsi="Times New Roman"/>
          <w:sz w:val="24"/>
        </w:rPr>
        <w:t xml:space="preserve">Задаток, уплаченн</w:t>
      </w:r>
      <w:r>
        <w:rPr>
          <w:rFonts w:ascii="Times New Roman" w:hAnsi="Times New Roman"/>
          <w:sz w:val="24"/>
        </w:rPr>
        <w:t xml:space="preserve">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 __________ (________), в том числе НДС __________ (________).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1" w:name="_Ref82174936"/>
      <w:r/>
      <w:bookmarkStart w:id="12" w:name="_Ref1686187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включая НДС (22 %) осуществляется Покупателем единовременно, в полном объеме, в течение 10 (десяти) рабочих дней со дня подписания Договора.</w:t>
      </w:r>
      <w:bookmarkEnd w:id="10"/>
      <w:r/>
      <w:bookmarkEnd w:id="11"/>
      <w:r/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3" w:name="_Ref486333023"/>
      <w:r/>
      <w:bookmarkStart w:id="14" w:name="_Ref8217420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r/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tabs>
          <w:tab w:val="left" w:pos="-14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6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5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(пяти)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календарных дней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к Покупателю по Договору</w:t>
      </w:r>
      <w:bookmarkEnd w:id="1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7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</w:rPr>
        <w:t xml:space="preserve">При выплате дохода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 xml:space="preserve">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6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Имущество в порядке и на условиях, установленных Договором.</w:t>
      </w:r>
      <w:bookmarkEnd w:id="1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7" w:name="_Ref12149458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20 (двадцати) рабочих дней со дня регистрации перехода на Покупателя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8" w:name="_Ref138686036"/>
      <w:r/>
      <w:bookmarkStart w:id="19" w:name="_Ref48633263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bookmarkEnd w:id="1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bookmarkEnd w:id="1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и расторгнуть его путем направления Покупателю письменного уведомления с указанием даты расторжения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за каждый календарный день просрочки, но не более 10 % (десяти процентов)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фиксируют данные несоответств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1" w:name="_Ref12744872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срока заключения Договора аренды, указанного в пункте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применимо), от общей стоимости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286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2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 непреодолимой силы (форс-мажору) относятся: война, 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непреодолимой силы лишает соответствующую Сторону права на освобождение от ответственности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4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127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Start w:id="23" w:name="_Ref1393199"/>
      <w:r/>
      <w:bookmarkEnd w:id="2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Арбитражн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суд Московской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326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-142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4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 xml:space="preserve"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5"/>
        </w:numPr>
        <w:contextualSpacing/>
        <w:ind w:left="0" w:firstLine="99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 xml:space="preserve">crem</w:t>
      </w:r>
      <w:r>
        <w:rPr>
          <w:rFonts w:ascii="Times New Roman" w:hAnsi="Times New Roman"/>
          <w:b/>
          <w:sz w:val="24"/>
        </w:rPr>
        <w:t xml:space="preserve">@</w:t>
      </w:r>
      <w:r>
        <w:rPr>
          <w:rFonts w:ascii="Times New Roman" w:hAnsi="Times New Roman"/>
          <w:b/>
          <w:sz w:val="24"/>
          <w:lang w:val="en-US"/>
        </w:rPr>
        <w:t xml:space="preserve">sberbank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  <w:lang w:val="en-US"/>
        </w:rPr>
        <w:t xml:space="preserve">ru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 xml:space="preserve">Недвижимого имущества</w:t>
      </w:r>
      <w:r>
        <w:rPr>
          <w:rFonts w:ascii="Times New Roman" w:hAnsi="Times New Roman"/>
          <w:sz w:val="24"/>
        </w:rPr>
        <w:t xml:space="preserve">. Информация, направленная на указанный почтовый адрес, не является юридически значимым сообщением по смыслу статьи 165.1 ГК 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 Договора запрещается подключение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еля, 1 экземпляр – для Продавца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851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212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5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Start w:id="26" w:name="_Ref126658428"/>
      <w:r/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bookmarkEnd w:id="2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(сокращенное 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Местонахождение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 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Расчетный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Корр.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ОКВЭД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ОКПО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КПП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117997, г. Москва, ул. Вавилова, д. 19,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117997, г. Москва, ул. Вавилова, д. 19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плательщика: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109544, г. Москва, ул. Б. Андроньевская, д.8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р/с:603</w:t>
      </w:r>
      <w:r>
        <w:rPr>
          <w:rFonts w:ascii="Times New Roman" w:hAnsi="Times New Roman" w:cs="Times New Roman"/>
          <w:sz w:val="24"/>
          <w:szCs w:val="24"/>
        </w:rPr>
        <w:t xml:space="preserve">11810540000200000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к/с:30101810400000000225 в Главном управлении Центрального банка Российской Федерации по Центральному федеральному округу г. Москва (ГУ Банка России по ЦФО)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044525225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7707083893/ КПП:773643002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ОГРН: 1027700132195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Лобня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лице своего филиала Среднерусского банка,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Центра комплексной поддержки РСЦ Среднерусского банка 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r>
        <w:rPr>
          <w:rFonts w:ascii="Times New Roman" w:hAnsi="Times New Roman"/>
          <w:sz w:val="24"/>
          <w:szCs w:val="24"/>
        </w:rPr>
        <w:t xml:space="preserve">Ереминой</w:t>
      </w:r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за №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реестровый № 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 Продавец передает Покупателю, а Покупатель принимает недвижимое имущество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нежилое помещение, 1 этаж, общая площадь 195,2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50:41:0000000:40586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Московская область, г. Лобня, ул. Чехова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01-41.2165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24.03.1998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</w:t>
      </w:r>
      <w:r>
        <w:rPr>
          <w:rFonts w:ascii="Times New Roman" w:hAnsi="Times New Roman" w:cs="Times New Roman"/>
          <w:sz w:val="24"/>
          <w:szCs w:val="24"/>
        </w:rPr>
        <w:t xml:space="preserve">КУВИ-001/2024-296806776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Недвижимое имущество передается в следующем техническом состоянии: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фасад и кровля Объекта: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например,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потолки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окраска, паркет,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двери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металлическая, деревянная,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 замок/ручка, перекос,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окна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пластиковые, деревянные, алюминиевые, окраска,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сломана/отсутствует ручка,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оборудование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pPr w:horzAnchor="margin" w:tblpXSpec="left" w:vertAnchor="text" w:tblpY="178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"/>
        <w:gridCol w:w="4591"/>
        <w:gridCol w:w="3916"/>
      </w:tblGrid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Наименование/описание систем</w:t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(отличное, хорошее, удовлетворительное – указать для каждого вида оборудования)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электроснабжения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Общее электроснабжение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ГРЩ, РЩ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Гарантированное и бесперебойное электропитание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Силовые, питающие и групповые кабельные линии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электрообогрева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термокабели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учета потребляемой электроэнергии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освещения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Рекламное 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Электроустановочное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Источники электроснабжения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противопожарной защиты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газового пожаротушения (станция газового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порошкового пожаротушения (станция порошкового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противодымной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газоудаления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первичные средства пожаротушения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противопожарной сигнализации и оповещения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Грузоподъемные механизмы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Лифтовое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Подъемники, грузоподъемные платформы, штабелёры (за исключением самоходных вилочных погрузчиков)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Эскалаторы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Высотные люльки (входящие в оборудование здания)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Тали, тельферы, лебедки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теплоснабжения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пункты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Узлы учета расхода тепла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Котельные (в том числе газифицированные)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Устройства водоподготовки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Газовое оборудования и газовые 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Приборы отопления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водоснабжения, водоотведения и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водопроводов, запорно-регулирующая арматура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Водостоки, дренажные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Скважины, очистные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Санитарно-техническое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Вентиляторы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Приточные и вытяжные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Увлажнители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Воздухоочистители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завесы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Воздухораспределительные устройства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воздуховодов и регулирующих дроссель клапанов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клапаны с электромеханическими приводами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Огнезадерживающие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клапаны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узлы теплоснабжения и холодоснабжения приточных систем и тепловых завес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Шкафы управления вентиляции, датчики и кабельные линии, относящиеся к системам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мультизональные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VRV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и автономные (в том числе прецизионные) кондиционеры, сплит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Водоохлаждающие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чиллера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Доводчики температуры воздуха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фанкойлы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Компрессорно-конденсаторные блоки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Выносные конденсаторы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Градирни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медных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фреоновых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трубопроводов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Кабельные линии системы управления кондиционеров, холодильных машин и исполнительных механизмов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Трубопроводы и запорно-регулирующая арматура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дренажных трубопроводов до врезок в систему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Дренажные насосы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Исполнительные механизмы и другое вспомогательное оборудование систем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видеонаблюдения и охранной сигнализации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повреждения для каждого вида оборудования)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иное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106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Недвижимое имущество со следующими показаниями индивидуальных приборов учета: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электричество: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(теплая):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(холодная):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иное: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ключи от замка двери Недвижимого имущества в количестве _________.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полномоченные представители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настоящего Приложения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получившей уведомление, c предоставленными в уведомлении обстоятельствами, связанными с Нарушением корру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(i) получения Стороной от другой Стороны ответа, подтверждающего Нарушение коррупционной направленности, или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отсутствия в полученном Стороной ответе от другой Стороны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bCs/>
          <w:iCs/>
          <w:sz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Подписи Сторон</w:t>
      </w:r>
      <w:r>
        <w:rPr>
          <w:rFonts w:ascii="Times New Roman" w:hAnsi="Times New Roman" w:eastAsia="Calibri" w:cs="Times New Roman"/>
          <w:b/>
          <w:bCs/>
          <w:iCs/>
          <w:sz w:val="24"/>
        </w:rPr>
      </w:r>
      <w:r>
        <w:rPr>
          <w:rFonts w:ascii="Times New Roman" w:hAnsi="Times New Roman" w:eastAsia="Calibri" w:cs="Times New Roman"/>
          <w:b/>
          <w:bCs/>
          <w:iCs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3" w:bottom="1134" w:left="1560" w:header="708" w:footer="19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1087"/>
      <w:jc w:val="center"/>
      <w:rPr>
        <w:rFonts w:ascii="Times New Roman" w:hAnsi="Times New Roman" w:cs="Times New Roman"/>
      </w:rPr>
    </w:pPr>
    <w:r/>
    <w:sdt>
      <w:sdtPr>
        <w15:appearance w15:val="boundingBox"/>
        <w:id w:val="-1531171477"/>
        <w:docPartObj>
          <w:docPartGallery w:val="Page Numbers (Bottom of Page)"/>
          <w:docPartUnique w:val="true"/>
        </w:docPartObj>
        <w:rPr/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10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Пункт Договора не указывается в случае, если Покупатель не является физическим лицом.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К доходам физического лица относятся суммы неус</w:t>
      </w:r>
      <w:r>
        <w:rPr>
          <w:rFonts w:ascii="Times New Roman" w:hAnsi="Times New Roman"/>
        </w:rPr>
        <w:t xml:space="preserve">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СА-4-7/12693@).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5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6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Оборудование – любые устр</w:t>
      </w:r>
      <w:r>
        <w:rPr>
          <w:rFonts w:ascii="Times New Roman" w:hAnsi="Times New Roman"/>
        </w:rPr>
        <w:t xml:space="preserve">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7">
    <w:p>
      <w:pPr>
        <w:pStyle w:val="1091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Для договоров с физическими лицами слово «работников» удалить.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8">
    <w:p>
      <w:pPr>
        <w:pStyle w:val="1122"/>
        <w:jc w:val="both"/>
        <w:rPr>
          <w:rFonts w:ascii="Times New Roman" w:hAnsi="Times New Roman" w:eastAsia="Calibri" w:cs="Times New Roman"/>
        </w:rPr>
      </w:pPr>
      <w:r>
        <w:rPr>
          <w:rStyle w:val="1104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</w:footnote>
  <w:footnote w:id="9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Уведомление 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 направляется в порядке, предусмотренном Договором, по адресу: </w:t>
      </w:r>
      <w:r>
        <w:rPr>
          <w:rFonts w:ascii="Times New Roman" w:hAnsi="Times New Roman"/>
        </w:rPr>
        <w:t xml:space="preserve">121170</w:t>
      </w:r>
      <w:r>
        <w:rPr>
          <w:rFonts w:ascii="Times New Roman" w:hAnsi="Times New Roman"/>
        </w:rPr>
        <w:t xml:space="preserve">, Р</w:t>
      </w:r>
      <w:r>
        <w:rPr>
          <w:rFonts w:ascii="Times New Roman" w:hAnsi="Times New Roman"/>
        </w:rPr>
        <w:t xml:space="preserve">оссийская Федерация, г. Москва, Кутузовский проспект, д. 32, к. 3, Управление </w:t>
      </w:r>
      <w:r>
        <w:rPr>
          <w:rFonts w:ascii="Times New Roman" w:hAnsi="Times New Roman"/>
        </w:rPr>
        <w:t xml:space="preserve">комплаенс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10">
    <w:p>
      <w:pPr>
        <w:pStyle w:val="1091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11">
    <w:p>
      <w:pPr>
        <w:pStyle w:val="1091"/>
        <w:jc w:val="both"/>
        <w:rPr>
          <w:rFonts w:ascii="Times New Roman" w:hAnsi="Times New Roman"/>
        </w:rPr>
      </w:pPr>
      <w:r>
        <w:rPr>
          <w:rStyle w:val="1104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2.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none"/>
      <w:pStyle w:val="1132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133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1134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1135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969" w:hanging="1260"/>
        <w:tabs>
          <w:tab w:val="num" w:pos="196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1.%3."/>
      <w:lvlJc w:val="left"/>
      <w:pPr>
        <w:ind w:left="2678" w:hanging="1260"/>
        <w:tabs>
          <w:tab w:val="num" w:pos="267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  <w:tabs>
          <w:tab w:val="num" w:pos="338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  <w:tabs>
          <w:tab w:val="num" w:pos="409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5" w:hanging="1260"/>
        <w:tabs>
          <w:tab w:val="num" w:pos="48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675" w:hanging="54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0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7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4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6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3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081" w:hanging="180"/>
      </w:p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b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5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</w:num>
  <w:num w:numId="2">
    <w:abstractNumId w:val="43"/>
  </w:num>
  <w:num w:numId="3">
    <w:abstractNumId w:val="23"/>
  </w:num>
  <w:num w:numId="4">
    <w:abstractNumId w:val="3"/>
  </w:num>
  <w:num w:numId="5">
    <w:abstractNumId w:val="12"/>
  </w:num>
  <w:num w:numId="6">
    <w:abstractNumId w:val="30"/>
  </w:num>
  <w:num w:numId="7">
    <w:abstractNumId w:val="6"/>
  </w:num>
  <w:num w:numId="8">
    <w:abstractNumId w:val="42"/>
  </w:num>
  <w:num w:numId="9">
    <w:abstractNumId w:val="28"/>
  </w:num>
  <w:num w:numId="10">
    <w:abstractNumId w:val="7"/>
  </w:num>
  <w:num w:numId="11">
    <w:abstractNumId w:val="34"/>
  </w:num>
  <w:num w:numId="12">
    <w:abstractNumId w:val="10"/>
  </w:num>
  <w:num w:numId="13">
    <w:abstractNumId w:val="46"/>
  </w:num>
  <w:num w:numId="14">
    <w:abstractNumId w:val="31"/>
  </w:num>
  <w:num w:numId="15">
    <w:abstractNumId w:val="39"/>
  </w:num>
  <w:num w:numId="16">
    <w:abstractNumId w:val="41"/>
  </w:num>
  <w:num w:numId="17">
    <w:abstractNumId w:val="33"/>
  </w:num>
  <w:num w:numId="18">
    <w:abstractNumId w:val="1"/>
  </w:num>
  <w:num w:numId="19">
    <w:abstractNumId w:val="21"/>
  </w:num>
  <w:num w:numId="20">
    <w:abstractNumId w:val="47"/>
  </w:num>
  <w:num w:numId="21">
    <w:abstractNumId w:val="38"/>
  </w:num>
  <w:num w:numId="22">
    <w:abstractNumId w:val="0"/>
  </w:num>
  <w:num w:numId="23">
    <w:abstractNumId w:val="2"/>
  </w:num>
  <w:num w:numId="24">
    <w:abstractNumId w:val="11"/>
  </w:num>
  <w:num w:numId="25">
    <w:abstractNumId w:val="32"/>
  </w:num>
  <w:num w:numId="26">
    <w:abstractNumId w:val="5"/>
  </w:num>
  <w:num w:numId="27">
    <w:abstractNumId w:val="8"/>
  </w:num>
  <w:num w:numId="28">
    <w:abstractNumId w:val="36"/>
  </w:num>
  <w:num w:numId="29">
    <w:abstractNumId w:val="45"/>
  </w:num>
  <w:num w:numId="30">
    <w:abstractNumId w:val="13"/>
  </w:num>
  <w:num w:numId="31">
    <w:abstractNumId w:val="9"/>
  </w:num>
  <w:num w:numId="32">
    <w:abstractNumId w:val="15"/>
  </w:num>
  <w:num w:numId="33">
    <w:abstractNumId w:val="19"/>
  </w:num>
  <w:num w:numId="34">
    <w:abstractNumId w:val="40"/>
  </w:num>
  <w:num w:numId="35">
    <w:abstractNumId w:val="29"/>
  </w:num>
  <w:num w:numId="36">
    <w:abstractNumId w:val="14"/>
  </w:num>
  <w:num w:numId="37">
    <w:abstractNumId w:val="16"/>
  </w:num>
  <w:num w:numId="38">
    <w:abstractNumId w:val="27"/>
  </w:num>
  <w:num w:numId="39">
    <w:abstractNumId w:val="44"/>
  </w:num>
  <w:num w:numId="40">
    <w:abstractNumId w:val="35"/>
  </w:num>
  <w:num w:numId="41">
    <w:abstractNumId w:val="25"/>
  </w:num>
  <w:num w:numId="42">
    <w:abstractNumId w:val="26"/>
  </w:num>
  <w:num w:numId="43">
    <w:abstractNumId w:val="17"/>
  </w:num>
  <w:num w:numId="44">
    <w:abstractNumId w:val="4"/>
  </w:num>
  <w:num w:numId="45">
    <w:abstractNumId w:val="37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2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9">
    <w:name w:val="Heading 1 Char"/>
    <w:basedOn w:val="1079"/>
    <w:link w:val="1076"/>
    <w:uiPriority w:val="9"/>
    <w:rPr>
      <w:rFonts w:ascii="Arial" w:hAnsi="Arial" w:eastAsia="Arial" w:cs="Arial"/>
      <w:sz w:val="40"/>
      <w:szCs w:val="40"/>
    </w:rPr>
  </w:style>
  <w:style w:type="paragraph" w:styleId="910">
    <w:name w:val="Heading 2"/>
    <w:basedOn w:val="1075"/>
    <w:next w:val="1075"/>
    <w:link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1">
    <w:name w:val="Heading 2 Char"/>
    <w:basedOn w:val="1079"/>
    <w:link w:val="910"/>
    <w:uiPriority w:val="9"/>
    <w:rPr>
      <w:rFonts w:ascii="Arial" w:hAnsi="Arial" w:eastAsia="Arial" w:cs="Arial"/>
      <w:sz w:val="34"/>
    </w:rPr>
  </w:style>
  <w:style w:type="paragraph" w:styleId="912">
    <w:name w:val="Heading 3"/>
    <w:basedOn w:val="1075"/>
    <w:next w:val="1075"/>
    <w:link w:val="9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3">
    <w:name w:val="Heading 3 Char"/>
    <w:basedOn w:val="1079"/>
    <w:link w:val="912"/>
    <w:uiPriority w:val="9"/>
    <w:rPr>
      <w:rFonts w:ascii="Arial" w:hAnsi="Arial" w:eastAsia="Arial" w:cs="Arial"/>
      <w:sz w:val="30"/>
      <w:szCs w:val="30"/>
    </w:rPr>
  </w:style>
  <w:style w:type="paragraph" w:styleId="914">
    <w:name w:val="Heading 4"/>
    <w:basedOn w:val="1075"/>
    <w:next w:val="1075"/>
    <w:link w:val="9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5">
    <w:name w:val="Heading 4 Char"/>
    <w:basedOn w:val="1079"/>
    <w:link w:val="914"/>
    <w:uiPriority w:val="9"/>
    <w:rPr>
      <w:rFonts w:ascii="Arial" w:hAnsi="Arial" w:eastAsia="Arial" w:cs="Arial"/>
      <w:b/>
      <w:bCs/>
      <w:sz w:val="26"/>
      <w:szCs w:val="26"/>
    </w:rPr>
  </w:style>
  <w:style w:type="character" w:styleId="916">
    <w:name w:val="Heading 5 Char"/>
    <w:basedOn w:val="1079"/>
    <w:link w:val="1077"/>
    <w:uiPriority w:val="9"/>
    <w:rPr>
      <w:rFonts w:ascii="Arial" w:hAnsi="Arial" w:eastAsia="Arial" w:cs="Arial"/>
      <w:b/>
      <w:bCs/>
      <w:sz w:val="24"/>
      <w:szCs w:val="24"/>
    </w:rPr>
  </w:style>
  <w:style w:type="character" w:styleId="917">
    <w:name w:val="Heading 6 Char"/>
    <w:basedOn w:val="1079"/>
    <w:link w:val="1078"/>
    <w:uiPriority w:val="9"/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1075"/>
    <w:next w:val="1075"/>
    <w:link w:val="9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9">
    <w:name w:val="Heading 7 Char"/>
    <w:basedOn w:val="1079"/>
    <w:link w:val="9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0">
    <w:name w:val="Heading 8"/>
    <w:basedOn w:val="1075"/>
    <w:next w:val="1075"/>
    <w:link w:val="9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1">
    <w:name w:val="Heading 8 Char"/>
    <w:basedOn w:val="1079"/>
    <w:link w:val="920"/>
    <w:uiPriority w:val="9"/>
    <w:rPr>
      <w:rFonts w:ascii="Arial" w:hAnsi="Arial" w:eastAsia="Arial" w:cs="Arial"/>
      <w:i/>
      <w:iCs/>
      <w:sz w:val="22"/>
      <w:szCs w:val="22"/>
    </w:rPr>
  </w:style>
  <w:style w:type="paragraph" w:styleId="922">
    <w:name w:val="Heading 9"/>
    <w:basedOn w:val="1075"/>
    <w:next w:val="1075"/>
    <w:link w:val="9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3">
    <w:name w:val="Heading 9 Char"/>
    <w:basedOn w:val="1079"/>
    <w:link w:val="922"/>
    <w:uiPriority w:val="9"/>
    <w:rPr>
      <w:rFonts w:ascii="Arial" w:hAnsi="Arial" w:eastAsia="Arial" w:cs="Arial"/>
      <w:i/>
      <w:iCs/>
      <w:sz w:val="21"/>
      <w:szCs w:val="21"/>
    </w:rPr>
  </w:style>
  <w:style w:type="paragraph" w:styleId="924">
    <w:name w:val="No Spacing"/>
    <w:uiPriority w:val="1"/>
    <w:qFormat/>
    <w:pPr>
      <w:spacing w:before="0" w:after="0" w:line="240" w:lineRule="auto"/>
    </w:pPr>
  </w:style>
  <w:style w:type="paragraph" w:styleId="925">
    <w:name w:val="Title"/>
    <w:basedOn w:val="1075"/>
    <w:next w:val="1075"/>
    <w:link w:val="9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6">
    <w:name w:val="Title Char"/>
    <w:basedOn w:val="1079"/>
    <w:link w:val="925"/>
    <w:uiPriority w:val="10"/>
    <w:rPr>
      <w:sz w:val="48"/>
      <w:szCs w:val="48"/>
    </w:rPr>
  </w:style>
  <w:style w:type="paragraph" w:styleId="927">
    <w:name w:val="Subtitle"/>
    <w:basedOn w:val="1075"/>
    <w:next w:val="1075"/>
    <w:link w:val="928"/>
    <w:uiPriority w:val="11"/>
    <w:qFormat/>
    <w:pPr>
      <w:spacing w:before="200" w:after="200"/>
    </w:pPr>
    <w:rPr>
      <w:sz w:val="24"/>
      <w:szCs w:val="24"/>
    </w:rPr>
  </w:style>
  <w:style w:type="character" w:styleId="928">
    <w:name w:val="Subtitle Char"/>
    <w:basedOn w:val="1079"/>
    <w:link w:val="927"/>
    <w:uiPriority w:val="11"/>
    <w:rPr>
      <w:sz w:val="24"/>
      <w:szCs w:val="24"/>
    </w:rPr>
  </w:style>
  <w:style w:type="paragraph" w:styleId="929">
    <w:name w:val="Quote"/>
    <w:basedOn w:val="1075"/>
    <w:next w:val="1075"/>
    <w:link w:val="930"/>
    <w:uiPriority w:val="29"/>
    <w:qFormat/>
    <w:pPr>
      <w:ind w:left="720" w:right="720"/>
    </w:pPr>
    <w:rPr>
      <w:i/>
    </w:rPr>
  </w:style>
  <w:style w:type="character" w:styleId="930">
    <w:name w:val="Quote Char"/>
    <w:link w:val="929"/>
    <w:uiPriority w:val="29"/>
    <w:rPr>
      <w:i/>
    </w:rPr>
  </w:style>
  <w:style w:type="paragraph" w:styleId="931">
    <w:name w:val="Intense Quote"/>
    <w:basedOn w:val="1075"/>
    <w:next w:val="1075"/>
    <w:link w:val="9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2">
    <w:name w:val="Intense Quote Char"/>
    <w:link w:val="931"/>
    <w:uiPriority w:val="30"/>
    <w:rPr>
      <w:i/>
    </w:rPr>
  </w:style>
  <w:style w:type="character" w:styleId="933">
    <w:name w:val="Header Char"/>
    <w:basedOn w:val="1079"/>
    <w:link w:val="1085"/>
    <w:uiPriority w:val="99"/>
  </w:style>
  <w:style w:type="character" w:styleId="934">
    <w:name w:val="Footer Char"/>
    <w:basedOn w:val="1079"/>
    <w:link w:val="1087"/>
    <w:uiPriority w:val="99"/>
  </w:style>
  <w:style w:type="paragraph" w:styleId="935">
    <w:name w:val="Caption"/>
    <w:basedOn w:val="1075"/>
    <w:next w:val="1075"/>
    <w:link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6">
    <w:name w:val="Caption Char"/>
    <w:basedOn w:val="1079"/>
    <w:link w:val="935"/>
    <w:uiPriority w:val="35"/>
    <w:rPr>
      <w:b/>
      <w:bCs/>
      <w:color w:val="4f81bd" w:themeColor="accent1"/>
      <w:sz w:val="18"/>
      <w:szCs w:val="18"/>
    </w:rPr>
  </w:style>
  <w:style w:type="table" w:styleId="937">
    <w:name w:val="Table Grid Light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Plain Table 1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9">
    <w:name w:val="Plain Table 2"/>
    <w:basedOn w:val="10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1">
    <w:name w:val="Plain Table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Plain Table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3">
    <w:name w:val="Grid Table 1 Light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4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5">
    <w:name w:val="Grid Table 4 - Accent 1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6">
    <w:name w:val="Grid Table 4 - Accent 2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Grid Table 4 - Accent 3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8">
    <w:name w:val="Grid Table 4 - Accent 4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Grid Table 4 - Accent 5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0">
    <w:name w:val="Grid Table 4 - Accent 6"/>
    <w:basedOn w:val="10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1">
    <w:name w:val="Grid Table 5 Dark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2">
    <w:name w:val="Grid Table 5 Dark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73">
    <w:name w:val="Grid Table 5 Dark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5">
    <w:name w:val="Grid Table 5 Dark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8">
    <w:name w:val="Grid Table 6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9">
    <w:name w:val="Grid Table 6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0">
    <w:name w:val="Grid Table 6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1">
    <w:name w:val="Grid Table 6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2">
    <w:name w:val="Grid Table 6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3">
    <w:name w:val="Grid Table 6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4">
    <w:name w:val="Grid Table 6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7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0">
    <w:name w:val="List Table 2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1">
    <w:name w:val="List Table 2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2">
    <w:name w:val="List Table 2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3">
    <w:name w:val="List Table 2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4">
    <w:name w:val="List Table 2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5">
    <w:name w:val="List Table 2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6">
    <w:name w:val="List Table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5 Dark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6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8">
    <w:name w:val="List Table 6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9">
    <w:name w:val="List Table 6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0">
    <w:name w:val="List Table 6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1">
    <w:name w:val="List Table 6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2">
    <w:name w:val="List Table 6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3">
    <w:name w:val="List Table 6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4">
    <w:name w:val="List Table 7 Colorful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5">
    <w:name w:val="List Table 7 Colorful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36">
    <w:name w:val="List Table 7 Colorful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7">
    <w:name w:val="List Table 7 Colorful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8">
    <w:name w:val="List Table 7 Colorful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9">
    <w:name w:val="List Table 7 Colorful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40">
    <w:name w:val="List Table 7 Colorful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1">
    <w:name w:val="Lined - Accent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2">
    <w:name w:val="Lined - Accent 1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43">
    <w:name w:val="Lined - Accent 2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4">
    <w:name w:val="Lined - Accent 3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5">
    <w:name w:val="Lined - Accent 4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6">
    <w:name w:val="Lined - Accent 5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47">
    <w:name w:val="Lined - Accent 6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8">
    <w:name w:val="Bordered &amp; Lined - Accent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9">
    <w:name w:val="Bordered &amp; Lined - Accent 1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50">
    <w:name w:val="Bordered &amp; Lined - Accent 2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1">
    <w:name w:val="Bordered &amp; Lined - Accent 3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2">
    <w:name w:val="Bordered &amp; Lined - Accent 4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3">
    <w:name w:val="Bordered &amp; Lined - Accent 5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54">
    <w:name w:val="Bordered &amp; Lined - Accent 6"/>
    <w:basedOn w:val="10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5">
    <w:name w:val="Bordered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6">
    <w:name w:val="Bordered - Accent 1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7">
    <w:name w:val="Bordered - Accent 2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8">
    <w:name w:val="Bordered - Accent 3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9">
    <w:name w:val="Bordered - Accent 4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0">
    <w:name w:val="Bordered - Accent 5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1">
    <w:name w:val="Bordered - Accent 6"/>
    <w:basedOn w:val="10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2">
    <w:name w:val="Footnote Text Char"/>
    <w:link w:val="1091"/>
    <w:uiPriority w:val="99"/>
    <w:rPr>
      <w:sz w:val="18"/>
    </w:rPr>
  </w:style>
  <w:style w:type="character" w:styleId="1063">
    <w:name w:val="Endnote Text Char"/>
    <w:link w:val="1108"/>
    <w:uiPriority w:val="99"/>
    <w:rPr>
      <w:sz w:val="20"/>
    </w:rPr>
  </w:style>
  <w:style w:type="paragraph" w:styleId="1064">
    <w:name w:val="toc 1"/>
    <w:basedOn w:val="1075"/>
    <w:next w:val="1075"/>
    <w:uiPriority w:val="39"/>
    <w:unhideWhenUsed/>
    <w:pPr>
      <w:ind w:left="0" w:right="0" w:firstLine="0"/>
      <w:spacing w:after="57"/>
    </w:pPr>
  </w:style>
  <w:style w:type="paragraph" w:styleId="1065">
    <w:name w:val="toc 2"/>
    <w:basedOn w:val="1075"/>
    <w:next w:val="1075"/>
    <w:uiPriority w:val="39"/>
    <w:unhideWhenUsed/>
    <w:pPr>
      <w:ind w:left="283" w:right="0" w:firstLine="0"/>
      <w:spacing w:after="57"/>
    </w:pPr>
  </w:style>
  <w:style w:type="paragraph" w:styleId="1066">
    <w:name w:val="toc 3"/>
    <w:basedOn w:val="1075"/>
    <w:next w:val="1075"/>
    <w:uiPriority w:val="39"/>
    <w:unhideWhenUsed/>
    <w:pPr>
      <w:ind w:left="567" w:right="0" w:firstLine="0"/>
      <w:spacing w:after="57"/>
    </w:pPr>
  </w:style>
  <w:style w:type="paragraph" w:styleId="1067">
    <w:name w:val="toc 4"/>
    <w:basedOn w:val="1075"/>
    <w:next w:val="1075"/>
    <w:uiPriority w:val="39"/>
    <w:unhideWhenUsed/>
    <w:pPr>
      <w:ind w:left="850" w:right="0" w:firstLine="0"/>
      <w:spacing w:after="57"/>
    </w:pPr>
  </w:style>
  <w:style w:type="paragraph" w:styleId="1068">
    <w:name w:val="toc 5"/>
    <w:basedOn w:val="1075"/>
    <w:next w:val="1075"/>
    <w:uiPriority w:val="39"/>
    <w:unhideWhenUsed/>
    <w:pPr>
      <w:ind w:left="1134" w:right="0" w:firstLine="0"/>
      <w:spacing w:after="57"/>
    </w:pPr>
  </w:style>
  <w:style w:type="paragraph" w:styleId="1069">
    <w:name w:val="toc 6"/>
    <w:basedOn w:val="1075"/>
    <w:next w:val="1075"/>
    <w:uiPriority w:val="39"/>
    <w:unhideWhenUsed/>
    <w:pPr>
      <w:ind w:left="1417" w:right="0" w:firstLine="0"/>
      <w:spacing w:after="57"/>
    </w:pPr>
  </w:style>
  <w:style w:type="paragraph" w:styleId="1070">
    <w:name w:val="toc 7"/>
    <w:basedOn w:val="1075"/>
    <w:next w:val="1075"/>
    <w:uiPriority w:val="39"/>
    <w:unhideWhenUsed/>
    <w:pPr>
      <w:ind w:left="1701" w:right="0" w:firstLine="0"/>
      <w:spacing w:after="57"/>
    </w:pPr>
  </w:style>
  <w:style w:type="paragraph" w:styleId="1071">
    <w:name w:val="toc 8"/>
    <w:basedOn w:val="1075"/>
    <w:next w:val="1075"/>
    <w:uiPriority w:val="39"/>
    <w:unhideWhenUsed/>
    <w:pPr>
      <w:ind w:left="1984" w:right="0" w:firstLine="0"/>
      <w:spacing w:after="57"/>
    </w:pPr>
  </w:style>
  <w:style w:type="paragraph" w:styleId="1072">
    <w:name w:val="toc 9"/>
    <w:basedOn w:val="1075"/>
    <w:next w:val="1075"/>
    <w:uiPriority w:val="39"/>
    <w:unhideWhenUsed/>
    <w:pPr>
      <w:ind w:left="2268" w:right="0" w:firstLine="0"/>
      <w:spacing w:after="57"/>
    </w:pPr>
  </w:style>
  <w:style w:type="paragraph" w:styleId="1073">
    <w:name w:val="TOC Heading"/>
    <w:uiPriority w:val="39"/>
    <w:unhideWhenUsed/>
  </w:style>
  <w:style w:type="paragraph" w:styleId="1074">
    <w:name w:val="table of figures"/>
    <w:basedOn w:val="1075"/>
    <w:next w:val="1075"/>
    <w:uiPriority w:val="99"/>
    <w:unhideWhenUsed/>
    <w:pPr>
      <w:spacing w:after="0" w:afterAutospacing="0"/>
    </w:pPr>
  </w:style>
  <w:style w:type="paragraph" w:styleId="1075" w:default="1">
    <w:name w:val="Normal"/>
    <w:qFormat/>
  </w:style>
  <w:style w:type="paragraph" w:styleId="1076">
    <w:name w:val="Heading 1"/>
    <w:basedOn w:val="1075"/>
    <w:next w:val="1075"/>
    <w:link w:val="1082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1077">
    <w:name w:val="Heading 5"/>
    <w:basedOn w:val="1075"/>
    <w:next w:val="1075"/>
    <w:link w:val="1083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1078">
    <w:name w:val="Heading 6"/>
    <w:basedOn w:val="1075"/>
    <w:next w:val="1075"/>
    <w:link w:val="1084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1079" w:default="1">
    <w:name w:val="Default Paragraph Font"/>
    <w:uiPriority w:val="1"/>
    <w:semiHidden/>
    <w:unhideWhenUsed/>
  </w:style>
  <w:style w:type="table" w:styleId="10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1" w:default="1">
    <w:name w:val="No List"/>
    <w:uiPriority w:val="99"/>
    <w:semiHidden/>
    <w:unhideWhenUsed/>
  </w:style>
  <w:style w:type="character" w:styleId="1082" w:customStyle="1">
    <w:name w:val="Заголовок 1 Знак"/>
    <w:basedOn w:val="1079"/>
    <w:link w:val="1076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83" w:customStyle="1">
    <w:name w:val="Заголовок 5 Знак"/>
    <w:basedOn w:val="1079"/>
    <w:link w:val="1077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1084" w:customStyle="1">
    <w:name w:val="Заголовок 6 Знак"/>
    <w:basedOn w:val="1079"/>
    <w:link w:val="1078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paragraph" w:styleId="1085">
    <w:name w:val="Header"/>
    <w:basedOn w:val="1075"/>
    <w:link w:val="10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6" w:customStyle="1">
    <w:name w:val="Верхний колонтитул Знак"/>
    <w:basedOn w:val="1079"/>
    <w:link w:val="1085"/>
    <w:uiPriority w:val="99"/>
  </w:style>
  <w:style w:type="paragraph" w:styleId="1087">
    <w:name w:val="Footer"/>
    <w:basedOn w:val="1075"/>
    <w:link w:val="10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8" w:customStyle="1">
    <w:name w:val="Нижний колонтитул Знак"/>
    <w:basedOn w:val="1079"/>
    <w:link w:val="1087"/>
    <w:uiPriority w:val="99"/>
  </w:style>
  <w:style w:type="paragraph" w:styleId="1089" w:customStyle="1">
    <w:name w:val="Заголовок 51"/>
    <w:basedOn w:val="1075"/>
    <w:next w:val="1075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1090" w:customStyle="1">
    <w:name w:val="Нет списка1"/>
    <w:next w:val="1081"/>
    <w:uiPriority w:val="99"/>
    <w:semiHidden/>
    <w:unhideWhenUsed/>
  </w:style>
  <w:style w:type="paragraph" w:styleId="1091">
    <w:name w:val="footnote text"/>
    <w:basedOn w:val="1075"/>
    <w:link w:val="1092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1092" w:customStyle="1">
    <w:name w:val="Текст сноски Знак"/>
    <w:basedOn w:val="1079"/>
    <w:link w:val="1091"/>
    <w:uiPriority w:val="99"/>
    <w:rPr>
      <w:rFonts w:ascii="Calibri" w:hAnsi="Calibri" w:eastAsia="Times New Roman" w:cs="Times New Roman"/>
      <w:sz w:val="20"/>
      <w:szCs w:val="20"/>
    </w:rPr>
  </w:style>
  <w:style w:type="paragraph" w:styleId="1093">
    <w:name w:val="annotation text"/>
    <w:basedOn w:val="1075"/>
    <w:link w:val="1094"/>
    <w:uiPriority w:val="99"/>
    <w:unhideWhenUsed/>
    <w:pPr>
      <w:spacing w:after="200" w:line="240" w:lineRule="auto"/>
    </w:pPr>
    <w:rPr>
      <w:sz w:val="20"/>
      <w:szCs w:val="20"/>
    </w:rPr>
  </w:style>
  <w:style w:type="character" w:styleId="1094" w:customStyle="1">
    <w:name w:val="Текст примечания Знак"/>
    <w:basedOn w:val="1079"/>
    <w:link w:val="1093"/>
    <w:uiPriority w:val="99"/>
    <w:rPr>
      <w:sz w:val="20"/>
      <w:szCs w:val="20"/>
    </w:rPr>
  </w:style>
  <w:style w:type="paragraph" w:styleId="1095">
    <w:name w:val="Body Text"/>
    <w:basedOn w:val="1075"/>
    <w:link w:val="1096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96" w:customStyle="1">
    <w:name w:val="Основной текст Знак"/>
    <w:basedOn w:val="1079"/>
    <w:link w:val="1095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97">
    <w:name w:val="Body Text Indent"/>
    <w:basedOn w:val="1075"/>
    <w:link w:val="1098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98" w:customStyle="1">
    <w:name w:val="Основной текст с отступом Знак"/>
    <w:basedOn w:val="1079"/>
    <w:link w:val="1097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99">
    <w:name w:val="Plain Text"/>
    <w:basedOn w:val="1075"/>
    <w:link w:val="1100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100" w:customStyle="1">
    <w:name w:val="Текст Знак"/>
    <w:basedOn w:val="1079"/>
    <w:link w:val="1099"/>
    <w:rPr>
      <w:rFonts w:ascii="Courier New" w:hAnsi="Courier New" w:eastAsia="Times New Roman" w:cs="Times New Roman"/>
      <w:sz w:val="20"/>
      <w:szCs w:val="20"/>
    </w:rPr>
  </w:style>
  <w:style w:type="paragraph" w:styleId="1101">
    <w:name w:val="List Paragraph"/>
    <w:basedOn w:val="1075"/>
    <w:link w:val="1127"/>
    <w:uiPriority w:val="34"/>
    <w:qFormat/>
    <w:pPr>
      <w:contextualSpacing/>
      <w:ind w:left="720"/>
      <w:spacing w:after="200" w:line="276" w:lineRule="auto"/>
    </w:pPr>
  </w:style>
  <w:style w:type="paragraph" w:styleId="1102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03" w:customStyle="1">
    <w:name w:val="Style6"/>
    <w:basedOn w:val="1075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4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1105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1106">
    <w:name w:val="Balloon Text"/>
    <w:basedOn w:val="1075"/>
    <w:link w:val="11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07" w:customStyle="1">
    <w:name w:val="Текст выноски Знак"/>
    <w:basedOn w:val="1079"/>
    <w:link w:val="1106"/>
    <w:uiPriority w:val="99"/>
    <w:semiHidden/>
    <w:rPr>
      <w:rFonts w:ascii="Tahoma" w:hAnsi="Tahoma" w:cs="Tahoma"/>
      <w:sz w:val="16"/>
      <w:szCs w:val="16"/>
    </w:rPr>
  </w:style>
  <w:style w:type="paragraph" w:styleId="1108">
    <w:name w:val="endnote text"/>
    <w:basedOn w:val="1075"/>
    <w:link w:val="1109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 w:customStyle="1">
    <w:name w:val="Текст концевой сноски Знак"/>
    <w:basedOn w:val="1079"/>
    <w:link w:val="110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0">
    <w:name w:val="endnote reference"/>
    <w:basedOn w:val="1079"/>
    <w:uiPriority w:val="99"/>
    <w:semiHidden/>
    <w:unhideWhenUsed/>
    <w:rPr>
      <w:vertAlign w:val="superscript"/>
    </w:rPr>
  </w:style>
  <w:style w:type="paragraph" w:styleId="1111">
    <w:name w:val="Body Text Indent 2"/>
    <w:basedOn w:val="1075"/>
    <w:link w:val="1112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 w:customStyle="1">
    <w:name w:val="Основной текст с отступом 2 Знак"/>
    <w:basedOn w:val="1079"/>
    <w:link w:val="111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13">
    <w:name w:val="Body Text 2"/>
    <w:basedOn w:val="1075"/>
    <w:link w:val="1114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4" w:customStyle="1">
    <w:name w:val="Основной текст 2 Знак"/>
    <w:basedOn w:val="1079"/>
    <w:link w:val="11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5">
    <w:name w:val="annotation reference"/>
    <w:basedOn w:val="1079"/>
    <w:uiPriority w:val="99"/>
    <w:semiHidden/>
    <w:unhideWhenUsed/>
    <w:rPr>
      <w:sz w:val="16"/>
      <w:szCs w:val="16"/>
    </w:rPr>
  </w:style>
  <w:style w:type="paragraph" w:styleId="1116">
    <w:name w:val="annotation subject"/>
    <w:basedOn w:val="1093"/>
    <w:next w:val="1093"/>
    <w:link w:val="1117"/>
    <w:uiPriority w:val="99"/>
    <w:semiHidden/>
    <w:unhideWhenUsed/>
    <w:rPr>
      <w:b/>
      <w:bCs/>
      <w:lang w:eastAsia="ru-RU"/>
    </w:rPr>
  </w:style>
  <w:style w:type="character" w:styleId="1117" w:customStyle="1">
    <w:name w:val="Тема примечания Знак"/>
    <w:basedOn w:val="1094"/>
    <w:link w:val="1116"/>
    <w:uiPriority w:val="99"/>
    <w:semiHidden/>
    <w:rPr>
      <w:b/>
      <w:bCs/>
      <w:sz w:val="20"/>
      <w:szCs w:val="20"/>
      <w:lang w:eastAsia="ru-RU"/>
    </w:rPr>
  </w:style>
  <w:style w:type="paragraph" w:styleId="1118">
    <w:name w:val="Revision"/>
    <w:hidden/>
    <w:uiPriority w:val="99"/>
    <w:semiHidden/>
    <w:pPr>
      <w:spacing w:after="0" w:line="240" w:lineRule="auto"/>
    </w:pPr>
  </w:style>
  <w:style w:type="paragraph" w:styleId="1119" w:customStyle="1">
    <w:name w:val="Абзац списка1"/>
    <w:basedOn w:val="1075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120" w:customStyle="1">
    <w:name w:val="blk3"/>
    <w:basedOn w:val="1079"/>
    <w:rPr>
      <w:vanish w:val="0"/>
    </w:rPr>
  </w:style>
  <w:style w:type="character" w:styleId="1121">
    <w:name w:val="Hyperlink"/>
    <w:uiPriority w:val="99"/>
    <w:unhideWhenUsed/>
    <w:rPr>
      <w:color w:val="0000ff"/>
      <w:u w:val="single"/>
    </w:rPr>
  </w:style>
  <w:style w:type="paragraph" w:styleId="1122">
    <w:name w:val="HTML Preformatted"/>
    <w:basedOn w:val="1075"/>
    <w:link w:val="1123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23" w:customStyle="1">
    <w:name w:val="Стандартный HTML Знак"/>
    <w:basedOn w:val="1079"/>
    <w:link w:val="112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24" w:customStyle="1">
    <w:name w:val="Нумерованный список уровень 1"/>
    <w:basedOn w:val="1101"/>
    <w:link w:val="1126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1125" w:customStyle="1">
    <w:name w:val="Нумерованный список уровень 2"/>
    <w:basedOn w:val="1101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1126" w:customStyle="1">
    <w:name w:val="Нумерованный список уровень 1 Знак"/>
    <w:basedOn w:val="1079"/>
    <w:link w:val="1124"/>
    <w:rPr>
      <w:sz w:val="24"/>
      <w:szCs w:val="24"/>
    </w:rPr>
  </w:style>
  <w:style w:type="character" w:styleId="1127" w:customStyle="1">
    <w:name w:val="Абзац списка Знак"/>
    <w:link w:val="1101"/>
    <w:uiPriority w:val="34"/>
  </w:style>
  <w:style w:type="character" w:styleId="1128" w:customStyle="1">
    <w:name w:val="Font Style16"/>
    <w:rPr>
      <w:rFonts w:hint="default" w:ascii="Times New Roman" w:hAnsi="Times New Roman" w:cs="Times New Roman"/>
    </w:rPr>
  </w:style>
  <w:style w:type="paragraph" w:styleId="1129" w:customStyle="1">
    <w:name w:val="Îáû÷íûé"/>
    <w:basedOn w:val="1075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1130">
    <w:name w:val="Table Grid"/>
    <w:basedOn w:val="1080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31">
    <w:name w:val="Block Text"/>
    <w:basedOn w:val="1075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32" w:customStyle="1">
    <w:name w:val="Название документа"/>
    <w:basedOn w:val="1075"/>
    <w:pPr>
      <w:numPr>
        <w:ilvl w:val="0"/>
        <w:numId w:val="5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1133" w:customStyle="1">
    <w:name w:val="Раздел"/>
    <w:basedOn w:val="1140"/>
    <w:pPr>
      <w:numPr>
        <w:ilvl w:val="1"/>
        <w:numId w:val="5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1134" w:customStyle="1">
    <w:name w:val="Статья 1"/>
    <w:basedOn w:val="1075"/>
    <w:pPr>
      <w:numPr>
        <w:ilvl w:val="2"/>
        <w:numId w:val="5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35" w:customStyle="1">
    <w:name w:val="Статья 2"/>
    <w:basedOn w:val="1075"/>
    <w:pPr>
      <w:numPr>
        <w:ilvl w:val="3"/>
        <w:numId w:val="5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36" w:customStyle="1">
    <w:name w:val="Список1"/>
    <w:basedOn w:val="1075"/>
    <w:next w:val="1140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1137" w:customStyle="1">
    <w:name w:val="Сетка таблицы1"/>
    <w:basedOn w:val="1080"/>
    <w:next w:val="11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8" w:customStyle="1">
    <w:name w:val="Сетка таблицы11"/>
    <w:basedOn w:val="1080"/>
    <w:next w:val="11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39" w:customStyle="1">
    <w:name w:val="Заголовок 5 Знак1"/>
    <w:basedOn w:val="1079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1140">
    <w:name w:val="List"/>
    <w:basedOn w:val="1075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1141">
    <w:name w:val="Subtle Emphasis"/>
    <w:basedOn w:val="1079"/>
    <w:uiPriority w:val="19"/>
    <w:qFormat/>
    <w:rPr>
      <w:i/>
      <w:iCs/>
      <w:color w:val="404040" w:themeColor="text1" w:themeTint="BF"/>
    </w:rPr>
  </w:style>
  <w:style w:type="paragraph" w:styleId="1142" w:customStyle="1">
    <w:name w:val="Заголовок 11"/>
    <w:basedOn w:val="1075"/>
    <w:next w:val="1075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43" w:customStyle="1">
    <w:name w:val="Заголовок 1 Знак1"/>
    <w:basedOn w:val="1079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Р7-Офис/2025.3.2.1007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01661411@omega.sbrf.ru</cp:lastModifiedBy>
  <cp:revision>30</cp:revision>
  <dcterms:created xsi:type="dcterms:W3CDTF">2024-08-06T11:41:00Z</dcterms:created>
  <dcterms:modified xsi:type="dcterms:W3CDTF">2026-04-22T07:03:45Z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