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F7B8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68AA03B7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5D5D7452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65445CC2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0AA758B2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51024C73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603BC2EC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6FB1CE32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134034AD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21318287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36938EF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76B9CBAA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50C7245B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02CA8A9C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2F342417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7E5960A5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45DD8610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5E6CF1D9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1486EA1A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16CF99E0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354EE338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2E6FA1B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0B9B3F60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5DDAF63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342408CD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5726721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70EB41D7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0C49C1AE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497EB55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532BDB6B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548D72E8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517E22B8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F06D105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738DA765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1C5BD431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09E81114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26E3E55D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FE2E400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0E5184DB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8628984" w14:textId="375A81A3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2A410F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2742837E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3DBB39E3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52A88D62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2744D33A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16681DC2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334A4C1B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44567D3A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450EF69B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6A177EA9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2262F7E2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49CC4E73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3DEA7834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67124857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436E2F8F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752367BF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6A5012AE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1CE986A3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45DEE47F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12F0A85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3576E10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2CA3B81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1FD9149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65F758A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5D10747A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5B51518C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59B250E8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28D6C773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52AE4138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0208F543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2CB5BEBE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536349BA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23105916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453665C7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52EB536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8EB03D6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4A4A553D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20B4E838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573D64C3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694F846C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A981F8B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8FED816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53B48D7F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50A5223E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6A1F8DF2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57956C8E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1A727627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342B8598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04B0E061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109C99A5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62BF0F7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56C0BE0A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3B476ADD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3DDB62F9" w14:textId="77777777" w:rsidR="00AE6899" w:rsidRDefault="003242FC" w:rsidP="00604A33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2470B743" w14:textId="77777777" w:rsidR="00604A33" w:rsidRPr="00604A33" w:rsidRDefault="00604A33" w:rsidP="00604A33">
      <w:pPr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8.6.</w:t>
      </w:r>
      <w:r w:rsidRPr="00604A33">
        <w:rPr>
          <w:i/>
          <w:color w:val="000000"/>
          <w:sz w:val="23"/>
          <w:szCs w:val="23"/>
          <w:vertAlign w:val="superscript"/>
        </w:rPr>
        <w:footnoteReference w:id="2"/>
      </w:r>
      <w:r w:rsidRPr="00604A33">
        <w:rPr>
          <w:i/>
          <w:color w:val="000000"/>
          <w:sz w:val="23"/>
          <w:szCs w:val="23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  </w:t>
      </w:r>
    </w:p>
    <w:p w14:paraId="13333FC9" w14:textId="77777777" w:rsidR="00604A33" w:rsidRPr="00604A33" w:rsidRDefault="00604A33" w:rsidP="00604A33">
      <w:pPr>
        <w:pStyle w:val="3"/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(пункт применяется в случае, если права требования, подлежащие передаче по настоящему договору, обеспечены залогом недвижимого имущества)</w:t>
      </w:r>
    </w:p>
    <w:p w14:paraId="3022CF92" w14:textId="77777777" w:rsidR="00A24A8A" w:rsidRPr="00604A33" w:rsidRDefault="00A24A8A" w:rsidP="00A24A8A">
      <w:pPr>
        <w:pStyle w:val="3"/>
        <w:rPr>
          <w:color w:val="000000"/>
          <w:sz w:val="23"/>
          <w:szCs w:val="23"/>
        </w:rPr>
      </w:pPr>
    </w:p>
    <w:p w14:paraId="4281EDCE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0D8CC28B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6C1005A4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82E3" w14:textId="77777777" w:rsidR="00FF40DE" w:rsidRDefault="00FF40DE">
      <w:r>
        <w:separator/>
      </w:r>
    </w:p>
  </w:endnote>
  <w:endnote w:type="continuationSeparator" w:id="0">
    <w:p w14:paraId="325B2A60" w14:textId="77777777" w:rsidR="00FF40DE" w:rsidRDefault="00FF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E1E0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B93CF8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558CB" w14:textId="77777777" w:rsidR="00FF40DE" w:rsidRDefault="00FF40DE">
      <w:r>
        <w:separator/>
      </w:r>
    </w:p>
  </w:footnote>
  <w:footnote w:type="continuationSeparator" w:id="0">
    <w:p w14:paraId="61E10745" w14:textId="77777777" w:rsidR="00FF40DE" w:rsidRDefault="00FF40DE">
      <w:r>
        <w:continuationSeparator/>
      </w:r>
    </w:p>
  </w:footnote>
  <w:footnote w:id="1">
    <w:p w14:paraId="341DC4D7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  <w:footnote w:id="2">
    <w:p w14:paraId="75154DCF" w14:textId="77777777" w:rsidR="00604A33" w:rsidRPr="00F33908" w:rsidRDefault="00604A33" w:rsidP="00604A33">
      <w:pPr>
        <w:pStyle w:val="af5"/>
        <w:ind w:firstLine="709"/>
        <w:rPr>
          <w:color w:val="000000"/>
        </w:rPr>
      </w:pPr>
      <w:r w:rsidRPr="00604A33">
        <w:rPr>
          <w:rStyle w:val="af7"/>
          <w:color w:val="FFFFFF"/>
        </w:rPr>
        <w:footnoteRef/>
      </w:r>
      <w:r w:rsidRPr="00B52D86">
        <w:t xml:space="preserve"> </w:t>
      </w:r>
      <w:r w:rsidRPr="00B52D86">
        <w:rPr>
          <w:color w:val="000000"/>
        </w:rPr>
        <w:t>Согласно</w:t>
      </w:r>
      <w:r w:rsidRPr="00F33908">
        <w:rPr>
          <w:color w:val="000000"/>
        </w:rPr>
        <w:t xml:space="preserve"> </w:t>
      </w:r>
      <w:hyperlink r:id="rId1" w:history="1">
        <w:r w:rsidRPr="00F33908">
          <w:rPr>
            <w:color w:val="000000"/>
          </w:rPr>
          <w:t>ч. 1.6 ст. 18</w:t>
        </w:r>
      </w:hyperlink>
      <w:r w:rsidRPr="00F33908">
        <w:rPr>
          <w:color w:val="000000"/>
        </w:rPr>
        <w:t xml:space="preserve"> Федерального закона от 13 июля</w:t>
      </w:r>
      <w:r>
        <w:rPr>
          <w:color w:val="000000"/>
        </w:rPr>
        <w:t xml:space="preserve"> </w:t>
      </w:r>
      <w:r w:rsidRPr="00F33908">
        <w:rPr>
          <w:color w:val="000000"/>
        </w:rPr>
        <w:t xml:space="preserve">2015 г. № 218-ФЗ «О государственной регистрации недвижимости» договор,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14:paraId="4D56F902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Проект договора уступки прав требования (цессии), </w:t>
      </w:r>
      <w:r>
        <w:rPr>
          <w:color w:val="000000"/>
          <w:sz w:val="20"/>
        </w:rPr>
        <w:t xml:space="preserve">в отношении прав требования, </w:t>
      </w:r>
      <w:r w:rsidRPr="00F33908">
        <w:rPr>
          <w:color w:val="000000"/>
          <w:sz w:val="20"/>
        </w:rPr>
        <w:t>обеспеченных залогом недвижимого имущества,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1C9B907B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Российской Федерации и представлят</w:t>
      </w:r>
      <w:r>
        <w:rPr>
          <w:color w:val="000000"/>
          <w:sz w:val="20"/>
        </w:rPr>
        <w:t>ь</w:t>
      </w:r>
      <w:r w:rsidRPr="00F33908">
        <w:rPr>
          <w:color w:val="000000"/>
          <w:sz w:val="20"/>
        </w:rPr>
        <w:t>ся в электронной форме в машиночитаемом виде.</w:t>
      </w:r>
    </w:p>
    <w:p w14:paraId="17026E7E" w14:textId="77777777"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F33908">
        <w:rPr>
          <w:color w:val="000000"/>
          <w:sz w:val="20"/>
        </w:rPr>
        <w:t>Минцифры</w:t>
      </w:r>
      <w:proofErr w:type="spellEnd"/>
      <w:r w:rsidRPr="00F33908">
        <w:rPr>
          <w:color w:val="000000"/>
          <w:sz w:val="20"/>
        </w:rPr>
        <w:t xml:space="preserve"> России от 14 сент</w:t>
      </w:r>
      <w:r>
        <w:rPr>
          <w:color w:val="000000"/>
          <w:sz w:val="20"/>
        </w:rPr>
        <w:t>я</w:t>
      </w:r>
      <w:r w:rsidRPr="00F33908">
        <w:rPr>
          <w:color w:val="000000"/>
          <w:sz w:val="20"/>
        </w:rPr>
        <w:t xml:space="preserve">бря 2020 г. № 472 «Об утверждении Формата электронной подписи, обязательного для реализации всеми средствами электронной подписи» (далее – </w:t>
      </w:r>
      <w:r w:rsidRPr="00DA4CEA">
        <w:rPr>
          <w:color w:val="000000"/>
          <w:sz w:val="20"/>
        </w:rPr>
        <w:t>машиночитаемая доверенность).</w:t>
      </w:r>
      <w:r>
        <w:rPr>
          <w:color w:val="000000"/>
          <w:sz w:val="20"/>
        </w:rPr>
        <w:t xml:space="preserve"> </w:t>
      </w:r>
      <w:r w:rsidRPr="00F33908">
        <w:rPr>
          <w:color w:val="000000"/>
          <w:sz w:val="20"/>
        </w:rPr>
        <w:t>Машиночитаемая доверенность подлежит нотариальному удостоверению.</w:t>
      </w:r>
    </w:p>
    <w:p w14:paraId="535586E7" w14:textId="77777777" w:rsidR="00604A33" w:rsidRPr="00F33908" w:rsidRDefault="00604A33" w:rsidP="00604A33">
      <w:pPr>
        <w:pStyle w:val="af5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794A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8B52D0">
      <w:rPr>
        <w:noProof/>
        <w:sz w:val="22"/>
        <w:szCs w:val="22"/>
      </w:rPr>
      <w:t>3</w:t>
    </w:r>
    <w:r w:rsidRPr="00031A1F">
      <w:rPr>
        <w:sz w:val="22"/>
        <w:szCs w:val="22"/>
      </w:rPr>
      <w:fldChar w:fldCharType="end"/>
    </w:r>
  </w:p>
  <w:p w14:paraId="1B45E487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410F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4A33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2D0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5862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33CC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40DE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18C817"/>
  <w15:chartTrackingRefBased/>
  <w15:docId w15:val="{67063525-337E-4008-9A76-7FFD02FD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rsid w:val="0067190D"/>
  </w:style>
  <w:style w:type="character" w:styleId="af7">
    <w:name w:val="footnote reference"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EA1E-5332-4CD3-892C-C4856C093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E5892-9E6D-4792-A700-9D2620FE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15293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2026-04-14T10:54:00Z</dcterms:created>
  <dcterms:modified xsi:type="dcterms:W3CDTF">2026-04-14T10:54:00Z</dcterms:modified>
</cp:coreProperties>
</file>