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contextualSpacing w:val="true"/>
        <w:jc w:val="center"/>
        <w:rPr>
          <w:rFonts w:ascii="Times New Roman" w:hAnsi="Times New Roman" w:cstheme="minorHAnsi"/>
          <w:b/>
          <w:sz w:val="24"/>
          <w:szCs w:val="24"/>
        </w:rPr>
      </w:pPr>
      <w:r>
        <w:rPr>
          <w:rFonts w:ascii="Times New Roman" w:hAnsi="Times New Roman" w:cstheme="minorHAnsi"/>
          <w:b/>
          <w:sz w:val="24"/>
          <w:szCs w:val="24"/>
        </w:rPr>
        <w:t xml:space="preserve">Список документов для предоставления согласия </w:t>
      </w:r>
      <w:r>
        <w:rPr>
          <w:rFonts w:ascii="Times New Roman" w:hAnsi="Times New Roman" w:cstheme="minorHAnsi"/>
          <w:b/>
          <w:sz w:val="24"/>
          <w:szCs w:val="24"/>
        </w:rPr>
      </w:r>
    </w:p>
    <w:p>
      <w:pPr>
        <w:pBdr/>
        <w:spacing/>
        <w:ind/>
        <w:contextualSpacing w:val="true"/>
        <w:jc w:val="center"/>
        <w:rPr>
          <w:rFonts w:ascii="Times New Roman" w:hAnsi="Times New Roman" w:cstheme="minorHAnsi"/>
          <w:b/>
          <w:sz w:val="24"/>
          <w:szCs w:val="24"/>
        </w:rPr>
      </w:pPr>
      <w:r>
        <w:rPr>
          <w:rFonts w:ascii="Times New Roman" w:hAnsi="Times New Roman" w:cstheme="minorHAnsi"/>
          <w:b/>
          <w:sz w:val="24"/>
          <w:szCs w:val="24"/>
        </w:rPr>
        <w:t xml:space="preserve">на продажу / отчуждение акций АО «Микос» </w:t>
      </w:r>
      <w:r>
        <w:rPr>
          <w:rFonts w:ascii="Times New Roman" w:hAnsi="Times New Roman" w:cstheme="minorHAnsi"/>
          <w:b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theme="minorHAnsi"/>
          <w:b/>
          <w:sz w:val="24"/>
          <w:szCs w:val="24"/>
        </w:rPr>
      </w:pPr>
      <w:r>
        <w:rPr>
          <w:rFonts w:ascii="Times New Roman" w:hAnsi="Times New Roman" w:cstheme="minorHAnsi"/>
          <w:b/>
          <w:sz w:val="24"/>
          <w:szCs w:val="24"/>
        </w:rPr>
      </w:r>
      <w:r>
        <w:rPr>
          <w:rFonts w:ascii="Times New Roman" w:hAnsi="Times New Roman" w:cstheme="minorHAnsi"/>
          <w:b/>
          <w:sz w:val="24"/>
          <w:szCs w:val="24"/>
        </w:rPr>
      </w:r>
    </w:p>
    <w:tbl>
      <w:tblPr>
        <w:tblW w:w="9493" w:type="dxa"/>
        <w:tblBorders/>
        <w:tblLook w:val="04A0" w:firstRow="1" w:lastRow="0" w:firstColumn="1" w:lastColumn="0" w:noHBand="0" w:noVBand="1"/>
      </w:tblPr>
      <w:tblGrid>
        <w:gridCol w:w="701"/>
        <w:gridCol w:w="7474"/>
        <w:gridCol w:w="1318"/>
      </w:tblGrid>
      <w:tr>
        <w:trPr>
          <w:cantSplit/>
          <w:trHeight w:val="60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Документ</w:t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Наличие</w:t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410"/>
        </w:trPr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93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Документы по кредитной сделке:</w:t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Проект договоров купли продажи акций и объектов недвижимости;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Основные сведения о поручителях, залогодателях (по форме Банка);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Документ (в виде письма или справки), подтверждающий согласие физических лиц - участников сделки на обработку персональных данных, полученные по форме и в порядке, установленном в Банке;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Согласие на получение информации из БКИ в отношении ФЛ (собственники + ген. директор);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Копии всех страниц паспортов собственников бизнеса и лиц, включенных в карточку образцов подписей и оттиска печати в обслуживающем Банке;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Заверение о структуре владения (по форме Банка);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gridSpan w:val="3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93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В отношении потенциального покупателя ЮЛ:</w:t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b/>
                <w:bCs/>
                <w:color w:val="000000"/>
                <w:sz w:val="24"/>
                <w:szCs w:val="24"/>
              </w:rPr>
              <w:t xml:space="preserve">Сведения о руководителях и лицах, принимающих решения ЕИО;</w:t>
            </w:r>
            <w:r>
              <w:rPr>
                <w:rFonts w:ascii="Times New Roman" w:hAnsi="Times New Roman" w:cstheme="minorHAnsi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b/>
                <w:bCs/>
                <w:color w:val="000000"/>
                <w:sz w:val="24"/>
                <w:szCs w:val="24"/>
              </w:rPr>
              <w:t xml:space="preserve">Правоустанавливающие документы:</w:t>
            </w:r>
            <w:r>
              <w:rPr>
                <w:rFonts w:ascii="Times New Roman" w:hAnsi="Times New Roman" w:cstheme="minorHAnsi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2.1.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Трудовой договор, заключенный с руководителем и главным бухгалтером компании- покупателя (в случае если трудовой договор не заключался - соответствующее письмо за подписью руководителя предприятия, заверенное печатью);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2.2.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Состав акционеров/участников (свыше 1% акций/долей/паев) в настоящее время, а также данные об изменениях в составе за последний год (с долей участия более 5%), в т.ч. сведения об акционерах, от имени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 которых номинальными держателями выступают другие лица, по состоянию на момент проведения годового собрания акционеров или более позднюю дату; аналогичная информация предоставляется в отношении акционеров, владеющих более 20 % уставного капитала Заемщика;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2.3.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Действующая редакция Устава заемщика/поручителя, включая все изменения и сопутствующие к ним документы;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2.4.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Протокол/решение о создании юридического лица заемщика/поручителя;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2.5.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Приказы и решения/протоколы о назначении единоличного исполнительного органа/бухгалтера;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2.6.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sz w:val="24"/>
                <w:szCs w:val="24"/>
              </w:rPr>
              <w:t xml:space="preserve">Персональный состав Органов управления;</w:t>
            </w:r>
            <w:r>
              <w:rPr>
                <w:rFonts w:ascii="Times New Roman" w:hAnsi="Times New Roman" w:cstheme="minorHAnsi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2.7.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sz w:val="24"/>
                <w:szCs w:val="24"/>
              </w:rPr>
              <w:t xml:space="preserve">Письмо об отсутствии изменений. Приложение № 9 Письмо об отсутствии изменений;</w:t>
            </w:r>
            <w:r>
              <w:rPr>
                <w:rFonts w:ascii="Times New Roman" w:hAnsi="Times New Roman" w:cstheme="minorHAnsi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2.8.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sz w:val="24"/>
                <w:szCs w:val="24"/>
              </w:rPr>
              <w:t xml:space="preserve"> Заверения и гарантии (формы в папке «Заверения и гарантии»)</w:t>
            </w:r>
            <w:r>
              <w:rPr>
                <w:rFonts w:ascii="Times New Roman" w:hAnsi="Times New Roman" w:cstheme="minorHAnsi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b/>
                <w:bCs/>
                <w:color w:val="000000"/>
                <w:sz w:val="24"/>
                <w:szCs w:val="24"/>
              </w:rPr>
              <w:t xml:space="preserve">Справка из подразделения ФНС 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России (МНС России) </w:t>
            </w:r>
            <w:r>
              <w:rPr>
                <w:rFonts w:ascii="Times New Roman" w:hAnsi="Times New Roman" w:cstheme="minorHAnsi"/>
                <w:b/>
                <w:bCs/>
                <w:color w:val="000000"/>
                <w:sz w:val="24"/>
                <w:szCs w:val="24"/>
              </w:rPr>
              <w:t xml:space="preserve">о состоянии расчетов 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с бюджетом или акт сверки расчетов с бюджетом (При наличии просроченной задолженности перед бюджетами какого-либо уровня - справка налогоплательщика с указанием сроков, объемов и причин возникновения долга);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b/>
                <w:bCs/>
                <w:color w:val="000000"/>
                <w:sz w:val="24"/>
                <w:szCs w:val="24"/>
              </w:rPr>
              <w:t xml:space="preserve">Справка из подразделения ФНС 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России (МНС России) </w:t>
            </w:r>
            <w:r>
              <w:rPr>
                <w:rFonts w:ascii="Times New Roman" w:hAnsi="Times New Roman" w:cstheme="minorHAnsi"/>
                <w:b/>
                <w:bCs/>
                <w:color w:val="000000"/>
                <w:sz w:val="24"/>
                <w:szCs w:val="24"/>
              </w:rPr>
              <w:t xml:space="preserve">о счетах, 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открытых в коммерческих банках;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b/>
                <w:bCs/>
                <w:color w:val="000000"/>
                <w:sz w:val="24"/>
                <w:szCs w:val="24"/>
              </w:rPr>
              <w:t xml:space="preserve">Справка из подразделения ПФР 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России </w:t>
            </w:r>
            <w:r>
              <w:rPr>
                <w:rFonts w:ascii="Times New Roman" w:hAnsi="Times New Roman" w:cstheme="minorHAnsi"/>
                <w:b/>
                <w:bCs/>
                <w:color w:val="000000"/>
                <w:sz w:val="24"/>
                <w:szCs w:val="24"/>
              </w:rPr>
              <w:t xml:space="preserve">о состоянии расчетов 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с бюджетом или акт сверки расчетов с бюджетом (При наличии просроченной задолженности перед бюджетами какого- либо уровня - справка налогоплательщика с указанием сроков, объемов и причин возникновения долга);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b/>
                <w:bCs/>
                <w:color w:val="000000"/>
                <w:sz w:val="24"/>
                <w:szCs w:val="24"/>
              </w:rPr>
              <w:t xml:space="preserve">Справки из обслуживающих банков 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не должны более чем на 30 календарных дней предшествовать дате запроса - (если нет актуальных на текущий момент, то предварительно последние имеющиеся):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6.1.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 об остатках денежных средств на расчетных и текущих валютных счетах, и наличии ограничений на распоряжение денежными средствами (состоянии картотеки №2), находящимися на указанных счетах;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6.2.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о суммарных ежемесячных оборотах по расчетным и текущим валютным счетам за последние 12 месяцев;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6.3.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о наличии/отсутствии ссудной задолженности и забалансовых обязательств.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b/>
                <w:bCs/>
                <w:color w:val="000000"/>
                <w:sz w:val="24"/>
                <w:szCs w:val="24"/>
              </w:rPr>
              <w:t xml:space="preserve">Финансовые документы:</w:t>
            </w:r>
            <w:r>
              <w:rPr>
                <w:rFonts w:ascii="Times New Roman" w:hAnsi="Times New Roman" w:cstheme="minorHAnsi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7.1.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Отчётность за 9 отчетных дат с расшифровками на последнюю дату - заверенные с отметкой налогового органа. Годовая отчётность за 2 последних года с приложениями № 3, 4, 5, пояснительной запиской и аудиторским заключением;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7.2.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Расшифровки основных статей баланса на последние 5 отчетных дат и ОСВ: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br/>
              <w:t xml:space="preserve">-      основные средства (в том числе 08 счет в разрезе проектов);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br/>
              <w:t xml:space="preserve">-      финансовые вложения;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br/>
              <w:t xml:space="preserve">-      дебиторская задолженность;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br/>
              <w:t xml:space="preserve">-      кредиторская задолженность;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br/>
              <w:t xml:space="preserve">-      кредиты и займы;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br/>
              <w:t xml:space="preserve">-      статей баланса, имеющих значительный объем (более 5% валюты баланса);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br/>
              <w:t xml:space="preserve">-      ОСВ счетов 02, 08, 10, 20, 86, 60, 62, 76 в разрезе субсчетов и контрагентов за последний отчетный год и на последнюю отчетную дату нарастающим итогом в формате 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Excel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7.3.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Расшифровка выручки и себестоимости с приложением ОСВ 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сч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. 90-91 (в разрезе субсчетов) и ОСВ расшифровывающих управленческие и коммерческие расходы за 5 отчетных дат;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7.4.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Расшифровка забалансовых обязательств (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авалированные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 векселя, гарантии, поручительства) с указанием банка, суммы договора, возможной суммы задолженности, валюты, срока обязательства, процентной ставки на последнюю отч</w:t>
            </w:r>
            <w:bookmarkStart w:id="0" w:name="_GoBack"/>
            <w:r/>
            <w:bookmarkEnd w:id="0"/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етную дату;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7.5.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 Схема группы компаний (наименование, ИНН, указание участников, функций предприятия в группе);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60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1" w:type="dxa"/>
            <w:vAlign w:val="center"/>
            <w:noWrap/>
          </w:tcPr>
          <w:p>
            <w:pPr>
              <w:pBdr/>
              <w:spacing/>
              <w:ind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7.6.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74" w:type="dxa"/>
            <w:vAlign w:val="center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  <w:t xml:space="preserve">Копии налоговых деклараций не менее чем за 4 отчетных/налоговых периода.</w:t>
            </w:r>
            <w:r>
              <w:rPr>
                <w:rFonts w:ascii="Times New Roman" w:hAnsi="Times New Roman" w:cstheme="minorHAnsi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Bdr/>
        <w:spacing/>
        <w:ind/>
        <w:jc w:val="center"/>
        <w:rPr>
          <w:rFonts w:ascii="Times New Roman" w:hAnsi="Times New Roman" w:cstheme="minorHAnsi"/>
          <w:b/>
          <w:sz w:val="24"/>
          <w:szCs w:val="24"/>
        </w:rPr>
      </w:pPr>
      <w:r>
        <w:rPr>
          <w:rFonts w:ascii="Times New Roman" w:hAnsi="Times New Roman" w:cstheme="minorHAnsi"/>
          <w:b/>
          <w:sz w:val="24"/>
          <w:szCs w:val="24"/>
        </w:rPr>
      </w:r>
      <w:r>
        <w:rPr>
          <w:rFonts w:ascii="Times New Roman" w:hAnsi="Times New Roman" w:cstheme="minorHAnsi"/>
          <w:b/>
          <w:sz w:val="24"/>
          <w:szCs w:val="24"/>
        </w:rPr>
      </w:r>
    </w:p>
    <w:sectPr>
      <w:footnotePr/>
      <w:endnotePr/>
      <w:type w:val="nextPage"/>
      <w:pgSz w:h="16838" w:orient="portrait" w:w="11906"/>
      <w:pgMar w:top="1134" w:right="849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00"/>
    <w:next w:val="700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00"/>
    <w:next w:val="70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00"/>
    <w:next w:val="700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00"/>
    <w:next w:val="70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00"/>
    <w:next w:val="700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00"/>
    <w:next w:val="70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00"/>
    <w:next w:val="700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00"/>
    <w:next w:val="700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00"/>
    <w:next w:val="700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01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01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01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01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01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01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01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01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01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00"/>
    <w:next w:val="700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01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00"/>
    <w:next w:val="700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01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00"/>
    <w:next w:val="700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01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00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0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00"/>
    <w:next w:val="700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01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0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00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0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01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01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0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0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01"/>
    <w:link w:val="704"/>
    <w:uiPriority w:val="99"/>
    <w:pPr>
      <w:pBdr/>
      <w:spacing/>
      <w:ind/>
    </w:pPr>
  </w:style>
  <w:style w:type="character" w:styleId="179">
    <w:name w:val="Footer Char"/>
    <w:basedOn w:val="701"/>
    <w:link w:val="706"/>
    <w:uiPriority w:val="99"/>
    <w:pPr>
      <w:pBdr/>
      <w:spacing/>
      <w:ind/>
    </w:pPr>
  </w:style>
  <w:style w:type="paragraph" w:styleId="180">
    <w:name w:val="Caption"/>
    <w:basedOn w:val="700"/>
    <w:next w:val="70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00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01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01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00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01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01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0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0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00"/>
    <w:next w:val="700"/>
    <w:uiPriority w:val="39"/>
    <w:unhideWhenUsed/>
    <w:pPr>
      <w:pBdr/>
      <w:spacing w:after="100"/>
      <w:ind/>
    </w:pPr>
  </w:style>
  <w:style w:type="paragraph" w:styleId="190">
    <w:name w:val="toc 2"/>
    <w:basedOn w:val="700"/>
    <w:next w:val="700"/>
    <w:uiPriority w:val="39"/>
    <w:unhideWhenUsed/>
    <w:pPr>
      <w:pBdr/>
      <w:spacing w:after="100"/>
      <w:ind w:left="220"/>
    </w:pPr>
  </w:style>
  <w:style w:type="paragraph" w:styleId="191">
    <w:name w:val="toc 3"/>
    <w:basedOn w:val="700"/>
    <w:next w:val="700"/>
    <w:uiPriority w:val="39"/>
    <w:unhideWhenUsed/>
    <w:pPr>
      <w:pBdr/>
      <w:spacing w:after="100"/>
      <w:ind w:left="440"/>
    </w:pPr>
  </w:style>
  <w:style w:type="paragraph" w:styleId="192">
    <w:name w:val="toc 4"/>
    <w:basedOn w:val="700"/>
    <w:next w:val="700"/>
    <w:uiPriority w:val="39"/>
    <w:unhideWhenUsed/>
    <w:pPr>
      <w:pBdr/>
      <w:spacing w:after="100"/>
      <w:ind w:left="660"/>
    </w:pPr>
  </w:style>
  <w:style w:type="paragraph" w:styleId="193">
    <w:name w:val="toc 5"/>
    <w:basedOn w:val="700"/>
    <w:next w:val="700"/>
    <w:uiPriority w:val="39"/>
    <w:unhideWhenUsed/>
    <w:pPr>
      <w:pBdr/>
      <w:spacing w:after="100"/>
      <w:ind w:left="880"/>
    </w:pPr>
  </w:style>
  <w:style w:type="paragraph" w:styleId="194">
    <w:name w:val="toc 6"/>
    <w:basedOn w:val="700"/>
    <w:next w:val="700"/>
    <w:uiPriority w:val="39"/>
    <w:unhideWhenUsed/>
    <w:pPr>
      <w:pBdr/>
      <w:spacing w:after="100"/>
      <w:ind w:left="1100"/>
    </w:pPr>
  </w:style>
  <w:style w:type="paragraph" w:styleId="195">
    <w:name w:val="toc 7"/>
    <w:basedOn w:val="700"/>
    <w:next w:val="700"/>
    <w:uiPriority w:val="39"/>
    <w:unhideWhenUsed/>
    <w:pPr>
      <w:pBdr/>
      <w:spacing w:after="100"/>
      <w:ind w:left="1320"/>
    </w:pPr>
  </w:style>
  <w:style w:type="paragraph" w:styleId="196">
    <w:name w:val="toc 8"/>
    <w:basedOn w:val="700"/>
    <w:next w:val="700"/>
    <w:uiPriority w:val="39"/>
    <w:unhideWhenUsed/>
    <w:pPr>
      <w:pBdr/>
      <w:spacing w:after="100"/>
      <w:ind w:left="1540"/>
    </w:pPr>
  </w:style>
  <w:style w:type="paragraph" w:styleId="197">
    <w:name w:val="toc 9"/>
    <w:basedOn w:val="700"/>
    <w:next w:val="700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01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00"/>
    <w:next w:val="700"/>
    <w:uiPriority w:val="99"/>
    <w:unhideWhenUsed/>
    <w:pPr>
      <w:pBdr/>
      <w:spacing w:after="0" w:afterAutospacing="0"/>
      <w:ind/>
    </w:pPr>
  </w:style>
  <w:style w:type="paragraph" w:styleId="700" w:default="1">
    <w:name w:val="Normal"/>
    <w:qFormat/>
    <w:pPr>
      <w:pBdr/>
      <w:spacing/>
      <w:ind/>
    </w:pPr>
  </w:style>
  <w:style w:type="character" w:styleId="701" w:default="1">
    <w:name w:val="Default Paragraph Font"/>
    <w:uiPriority w:val="1"/>
    <w:semiHidden/>
    <w:unhideWhenUsed/>
    <w:pPr>
      <w:pBdr/>
      <w:spacing/>
      <w:ind/>
    </w:pPr>
  </w:style>
  <w:style w:type="table" w:styleId="70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3" w:default="1">
    <w:name w:val="No List"/>
    <w:uiPriority w:val="99"/>
    <w:semiHidden/>
    <w:unhideWhenUsed/>
    <w:pPr>
      <w:pBdr/>
      <w:spacing/>
      <w:ind/>
    </w:pPr>
  </w:style>
  <w:style w:type="paragraph" w:styleId="704">
    <w:name w:val="Header"/>
    <w:basedOn w:val="700"/>
    <w:link w:val="705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705" w:customStyle="1">
    <w:name w:val="Верхний колонтитул Знак"/>
    <w:basedOn w:val="701"/>
    <w:link w:val="704"/>
    <w:uiPriority w:val="99"/>
    <w:pPr>
      <w:pBdr/>
      <w:spacing/>
      <w:ind/>
    </w:pPr>
  </w:style>
  <w:style w:type="paragraph" w:styleId="706">
    <w:name w:val="Footer"/>
    <w:basedOn w:val="700"/>
    <w:link w:val="707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707" w:customStyle="1">
    <w:name w:val="Нижний колонтитул Знак"/>
    <w:basedOn w:val="701"/>
    <w:link w:val="706"/>
    <w:uiPriority w:val="99"/>
    <w:pPr>
      <w:pBdr/>
      <w:spacing/>
      <w:ind/>
    </w:pPr>
  </w:style>
  <w:style w:type="paragraph" w:styleId="708">
    <w:name w:val="Balloon Text"/>
    <w:basedOn w:val="700"/>
    <w:link w:val="709"/>
    <w:uiPriority w:val="99"/>
    <w:semiHidden/>
    <w:unhideWhenUsed/>
    <w:pPr>
      <w:pBdr/>
      <w:spacing w:after="0" w:line="240" w:lineRule="auto"/>
      <w:ind/>
    </w:pPr>
    <w:rPr>
      <w:rFonts w:ascii="Segoe UI" w:hAnsi="Segoe UI"/>
      <w:sz w:val="18"/>
      <w:szCs w:val="18"/>
    </w:rPr>
  </w:style>
  <w:style w:type="character" w:styleId="709" w:customStyle="1">
    <w:name w:val="Текст выноски Знак"/>
    <w:basedOn w:val="701"/>
    <w:link w:val="708"/>
    <w:uiPriority w:val="99"/>
    <w:semiHidden/>
    <w:pPr>
      <w:pBdr/>
      <w:spacing/>
      <w:ind/>
    </w:pPr>
    <w:rPr>
      <w:rFonts w:ascii="Segoe UI" w:hAnsi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Братолюбова</dc:creator>
  <cp:keywords/>
  <dc:description/>
  <cp:revision>3</cp:revision>
  <dcterms:created xsi:type="dcterms:W3CDTF">2026-04-17T15:35:00Z</dcterms:created>
  <dcterms:modified xsi:type="dcterms:W3CDTF">2026-04-22T07:09:30Z</dcterms:modified>
</cp:coreProperties>
</file>