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/>
          <w:bCs/>
          <w:i w:val="false"/>
          <w:iCs w:val="false"/>
          <w:color w:val="000000"/>
          <w:sz w:val="26"/>
          <w:szCs w:val="26"/>
          <w:shd w:fill="auto" w:val="clear"/>
        </w:rPr>
        <w:t>Канализационные очистные сооружения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sz w:val="26"/>
          <w:szCs w:val="26"/>
        </w:rPr>
        <w:t>(Автоматизированный комплекс очистки хозйственно-бытовых сточных вод) ВАЛТРОН-ЭКО-БИО-25: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sz w:val="26"/>
          <w:szCs w:val="26"/>
        </w:rPr>
        <w:t>1.1 Автоматизированный комплекс очистных сооружений по типу «ВАЛТРОН-ЭКО-БИО-25» в составе: блок обеззараживания.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sz w:val="26"/>
          <w:szCs w:val="26"/>
        </w:rPr>
        <w:t>1.2. Автоматизированный комплекс очистных сооружений по типу «ВАЛТРОН-ЭКО-БИО-25» в составе: Блок основной очистки. Блок доочистки.</w:t>
      </w:r>
    </w:p>
    <w:p>
      <w:pPr>
        <w:pStyle w:val="Tableheader"/>
        <w:widowControl w:val="false"/>
        <w:spacing w:lineRule="exact" w:line="283"/>
        <w:ind w:hanging="0"/>
        <w:rPr/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1.3. Канализационная насосная станция полной заводской готовности производительностью 4-7 м3/час.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пгт. Новобурейский, микрорайон Гидростроителей.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</w:t>
      </w:r>
    </w:p>
    <w:p>
      <w:pPr>
        <w:pStyle w:val="Tableheader"/>
        <w:widowControl w:val="false"/>
        <w:ind w:firstLine="54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Канализационные очистные сооружения биологической очистки сточных вод производительностью 25 куб.м./сут. предназначены для очистки хозяйственно-бытовых сточных вод. Габаритны</w:t>
      </w:r>
      <w:r>
        <w:rPr>
          <w:b w:val="false"/>
          <w:bCs w:val="false"/>
          <w:sz w:val="26"/>
          <w:szCs w:val="26"/>
        </w:rPr>
        <w:t>е</w:t>
      </w:r>
      <w:r>
        <w:rPr>
          <w:b w:val="false"/>
          <w:bCs w:val="false"/>
          <w:sz w:val="26"/>
          <w:szCs w:val="26"/>
        </w:rPr>
        <w:t xml:space="preserve"> размеры 3,45х15,0х6,22 м. Установленная мощность технологического оборудования 12,2 кВт.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bCs/>
          <w:i/>
          <w:iCs w:val="false"/>
          <w:color w:val="000000"/>
          <w:sz w:val="26"/>
          <w:szCs w:val="26"/>
          <w:shd w:fill="auto" w:val="clear"/>
        </w:rPr>
        <w:t xml:space="preserve">Начальная цена продажи: </w:t>
      </w:r>
      <w:r>
        <w:rPr>
          <w:b/>
          <w:bCs/>
          <w:i/>
          <w:iCs w:val="false"/>
          <w:color w:val="000000"/>
          <w:sz w:val="26"/>
          <w:szCs w:val="26"/>
          <w:shd w:fill="auto" w:val="clear"/>
        </w:rPr>
        <w:t>3 701 549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(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>три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миллиона 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>семьсот одна тысяча пятьсот сорок девять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>) рубл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>ей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</w:t>
      </w:r>
      <w:r>
        <w:rPr>
          <w:b/>
          <w:bCs/>
          <w:i w:val="false"/>
          <w:iCs w:val="false"/>
          <w:color w:val="000000"/>
          <w:sz w:val="26"/>
          <w:szCs w:val="26"/>
          <w:shd w:fill="auto" w:val="clear"/>
        </w:rPr>
        <w:t>14</w:t>
      </w:r>
      <w:r>
        <w:rPr>
          <w:b/>
          <w:bCs/>
          <w:i w:val="false"/>
          <w:iCs w:val="false"/>
          <w:color w:val="000000"/>
          <w:sz w:val="26"/>
          <w:szCs w:val="26"/>
          <w:shd w:fill="auto" w:val="clear"/>
        </w:rPr>
        <w:t xml:space="preserve"> копеек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</w:t>
      </w:r>
      <w:r>
        <w:rPr>
          <w:b/>
          <w:bCs/>
          <w:i w:val="false"/>
          <w:iCs w:val="false"/>
          <w:sz w:val="26"/>
          <w:szCs w:val="26"/>
          <w:shd w:fill="auto" w:val="clear"/>
        </w:rPr>
        <w:t>37 015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(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тридцать семь тысяч пятнадцать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) рубл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ей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</w:t>
      </w:r>
      <w:r>
        <w:rPr>
          <w:b/>
          <w:bCs/>
          <w:i w:val="false"/>
          <w:iCs w:val="false"/>
          <w:sz w:val="26"/>
          <w:szCs w:val="26"/>
          <w:shd w:fill="auto" w:val="clear"/>
        </w:rPr>
        <w:t>49</w:t>
      </w:r>
      <w:r>
        <w:rPr>
          <w:b/>
          <w:bCs/>
          <w:i w:val="false"/>
          <w:iCs w:val="false"/>
          <w:sz w:val="26"/>
          <w:szCs w:val="26"/>
          <w:shd w:fill="auto" w:val="clear"/>
        </w:rPr>
        <w:t xml:space="preserve"> копе</w:t>
      </w:r>
      <w:r>
        <w:rPr>
          <w:b/>
          <w:bCs/>
          <w:i w:val="false"/>
          <w:iCs w:val="false"/>
          <w:sz w:val="26"/>
          <w:szCs w:val="26"/>
          <w:shd w:fill="auto" w:val="clear"/>
        </w:rPr>
        <w:t>ек</w:t>
      </w:r>
      <w:r>
        <w:rPr>
          <w:b/>
          <w:bCs/>
          <w:i w:val="false"/>
          <w:iCs w:val="false"/>
          <w:sz w:val="26"/>
          <w:szCs w:val="26"/>
          <w:shd w:fill="auto" w:val="clear"/>
        </w:rPr>
        <w:t>,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bCs/>
          <w:i/>
          <w:iCs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122 000 (сто двадцать две тысячи) рублей 00 копеек с учетом НДС,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bCs/>
          <w:i/>
          <w:iCs w:val="false"/>
          <w:kern w:val="2"/>
          <w:sz w:val="26"/>
          <w:szCs w:val="26"/>
          <w:shd w:fill="auto" w:val="clear"/>
        </w:rPr>
        <w:t>С</w:t>
      </w:r>
      <w:r>
        <w:rPr>
          <w:b/>
          <w:bCs/>
          <w:i/>
          <w:iCs w:val="false"/>
          <w:sz w:val="26"/>
          <w:szCs w:val="26"/>
        </w:rPr>
        <w:t xml:space="preserve">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</w:rPr>
        <w:t>с начала приема заявок по «0</w:t>
      </w:r>
      <w:r>
        <w:rPr>
          <w:b w:val="false"/>
          <w:bCs w:val="false"/>
          <w:i w:val="false"/>
          <w:iCs w:val="false"/>
          <w:sz w:val="26"/>
          <w:szCs w:val="26"/>
        </w:rPr>
        <w:t>8</w:t>
      </w:r>
      <w:r>
        <w:rPr>
          <w:b w:val="false"/>
          <w:bCs w:val="false"/>
          <w:i w:val="false"/>
          <w:iCs w:val="false"/>
          <w:sz w:val="26"/>
          <w:szCs w:val="26"/>
        </w:rPr>
        <w:t>» июня 2026 г.</w:t>
      </w:r>
    </w:p>
    <w:p>
      <w:pPr>
        <w:pStyle w:val="Normal"/>
        <w:ind w:left="0" w:right="0"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«2</w:t>
      </w:r>
      <w:r>
        <w:rPr>
          <w:sz w:val="26"/>
          <w:szCs w:val="26"/>
        </w:rPr>
        <w:t>2</w:t>
      </w:r>
      <w:r>
        <w:rPr>
          <w:sz w:val="26"/>
          <w:szCs w:val="26"/>
        </w:rPr>
        <w:t>» апреля 2026 г. 08 ч. 00 мин.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Продавц</w:t>
      </w:r>
      <w:r>
        <w:rPr>
          <w:i w:val="false"/>
          <w:iCs w:val="false"/>
          <w:sz w:val="26"/>
          <w:szCs w:val="26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«0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8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» июня 2026 г. 16 ч. 00 мин. (по местному времени Продавца).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«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10</w:t>
      </w:r>
      <w:r>
        <w:rPr>
          <w:rFonts w:eastAsia="Lucida Sans Unicode"/>
          <w:i w:val="false"/>
          <w:iCs w:val="false"/>
          <w:kern w:val="2"/>
          <w:sz w:val="26"/>
          <w:szCs w:val="26"/>
        </w:rPr>
        <w:t>» июня 2026г.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«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11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» июня 2026 г.10 ч. 00 мин. (по местному времени Продавца).</w:t>
      </w:r>
    </w:p>
    <w:p>
      <w:pPr>
        <w:pStyle w:val="Normal"/>
        <w:widowControl w:val="false"/>
        <w:ind w:left="0" w:right="0"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16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» июня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Application>AlterOffice/2025.3.1.0$Linux_X86_64 LibreOffice_project/431cd1b79110582f53535c95ed0a2449aadc8bf9</Application>
  <AppVersion>15.0000</AppVersion>
  <Pages>2</Pages>
  <Words>516</Words>
  <Characters>3657</Characters>
  <CharactersWithSpaces>4167</CharactersWithSpaces>
  <Paragraphs>30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2026-04-21T09:22:21Z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