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55" w14:textId="5A5588DB" w:rsidR="00CA005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 xml:space="preserve">ПРОЕКТ </w:t>
      </w:r>
      <w:r w:rsidR="00DF66E9"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ДОГОВОРА КУПЛИ-ПРОДАЖИ</w:t>
      </w:r>
    </w:p>
    <w:p w14:paraId="6D040623" w14:textId="77777777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3FCE4B24" w14:textId="2C8C1A20" w:rsidR="00DD3EBC" w:rsidRPr="00D74032" w:rsidRDefault="00DD3EBC" w:rsidP="00D74032">
      <w:pPr>
        <w:pStyle w:val="1"/>
        <w:spacing w:line="240" w:lineRule="auto"/>
        <w:rPr>
          <w:rFonts w:ascii="Cambria" w:eastAsia="Calibri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г. Владимир</w:t>
      </w:r>
      <w:r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F66E9" w:rsidRPr="00D74032">
        <w:rPr>
          <w:rFonts w:ascii="Cambria" w:eastAsia="Calibri" w:hAnsi="Cambria" w:cstheme="minorHAnsi"/>
          <w:sz w:val="20"/>
          <w:szCs w:val="20"/>
        </w:rPr>
        <w:tab/>
      </w:r>
      <w:r w:rsidR="00D74032">
        <w:rPr>
          <w:rFonts w:ascii="Cambria" w:eastAsia="Calibri" w:hAnsi="Cambria" w:cstheme="minorHAnsi"/>
          <w:sz w:val="20"/>
          <w:szCs w:val="20"/>
        </w:rPr>
        <w:tab/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«__» __ </w:t>
      </w:r>
      <w:r w:rsidR="00056D89">
        <w:rPr>
          <w:rFonts w:ascii="Cambria" w:eastAsia="Calibri" w:hAnsi="Cambria" w:cstheme="minorHAnsi"/>
          <w:sz w:val="20"/>
          <w:szCs w:val="20"/>
          <w:highlight w:val="yellow"/>
        </w:rPr>
        <w:t>202</w:t>
      </w:r>
      <w:r w:rsidR="00E461D1">
        <w:rPr>
          <w:rFonts w:ascii="Cambria" w:eastAsia="Calibri" w:hAnsi="Cambria" w:cstheme="minorHAnsi"/>
          <w:sz w:val="20"/>
          <w:szCs w:val="20"/>
          <w:highlight w:val="yellow"/>
        </w:rPr>
        <w:t>6</w:t>
      </w:r>
      <w:r w:rsidRPr="00D74032">
        <w:rPr>
          <w:rFonts w:ascii="Cambria" w:eastAsia="Calibri" w:hAnsi="Cambria" w:cstheme="minorHAnsi"/>
          <w:sz w:val="20"/>
          <w:szCs w:val="20"/>
          <w:highlight w:val="yellow"/>
        </w:rPr>
        <w:t xml:space="preserve"> г</w:t>
      </w:r>
      <w:r w:rsidRPr="00D74032">
        <w:rPr>
          <w:rFonts w:ascii="Cambria" w:eastAsia="Calibri" w:hAnsi="Cambria" w:cstheme="minorHAnsi"/>
          <w:sz w:val="20"/>
          <w:szCs w:val="20"/>
        </w:rPr>
        <w:t>.</w:t>
      </w:r>
    </w:p>
    <w:p w14:paraId="14D8E19C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F53E2AE" w14:textId="7187DF53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bookmarkStart w:id="0" w:name="_Hlk479327671"/>
      <w:r w:rsidRPr="00D74032">
        <w:rPr>
          <w:rFonts w:ascii="Cambria" w:eastAsia="Calibri" w:hAnsi="Cambria" w:cstheme="minorHAnsi"/>
          <w:sz w:val="20"/>
          <w:szCs w:val="20"/>
        </w:rPr>
        <w:t xml:space="preserve">Конкурсный управляющий </w:t>
      </w:r>
      <w:r w:rsidR="00D74032" w:rsidRPr="00D74032">
        <w:rPr>
          <w:rFonts w:ascii="Cambria" w:eastAsia="Calibri" w:hAnsi="Cambria" w:cstheme="minorHAnsi"/>
          <w:sz w:val="20"/>
          <w:szCs w:val="20"/>
        </w:rPr>
        <w:t>ООО «Стройресурс</w:t>
      </w:r>
      <w:r w:rsidRPr="00D74032">
        <w:rPr>
          <w:rFonts w:ascii="Cambria" w:eastAsia="Calibri" w:hAnsi="Cambria" w:cstheme="minorHAnsi"/>
          <w:sz w:val="20"/>
          <w:szCs w:val="20"/>
        </w:rPr>
        <w:t>»</w:t>
      </w:r>
      <w:r w:rsidR="00D74032" w:rsidRPr="00D74032">
        <w:rPr>
          <w:rFonts w:ascii="Cambria" w:eastAsia="Calibri" w:hAnsi="Cambria" w:cstheme="minorHAnsi"/>
          <w:sz w:val="20"/>
          <w:szCs w:val="20"/>
        </w:rPr>
        <w:t xml:space="preserve"> Минин максим Александрович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, действующей на основании </w:t>
      </w:r>
      <w:bookmarkEnd w:id="0"/>
      <w:r w:rsidR="00D74032" w:rsidRPr="00D74032">
        <w:rPr>
          <w:rFonts w:ascii="Cambria" w:eastAsia="Calibri" w:hAnsi="Cambria" w:cstheme="minorHAnsi"/>
          <w:sz w:val="20"/>
          <w:szCs w:val="20"/>
        </w:rPr>
        <w:t>определения Арбитражного суда г. Москвы от 12.07.2023 по делу № А40-194358/21</w:t>
      </w:r>
      <w:r w:rsidRPr="00D74032">
        <w:rPr>
          <w:rFonts w:ascii="Cambria" w:eastAsia="Calibri" w:hAnsi="Cambria" w:cstheme="minorHAnsi"/>
          <w:sz w:val="20"/>
          <w:szCs w:val="20"/>
        </w:rPr>
        <w:t>, именуем</w:t>
      </w:r>
      <w:r w:rsidR="00C61742" w:rsidRPr="00D74032">
        <w:rPr>
          <w:rFonts w:ascii="Cambria" w:eastAsia="Calibri" w:hAnsi="Cambria" w:cstheme="minorHAnsi"/>
          <w:sz w:val="20"/>
          <w:szCs w:val="20"/>
        </w:rPr>
        <w:t>ый</w:t>
      </w:r>
      <w:r w:rsidRPr="00D74032">
        <w:rPr>
          <w:rFonts w:ascii="Cambria" w:eastAsia="Calibri" w:hAnsi="Cambria" w:cstheme="minorHAnsi"/>
          <w:sz w:val="20"/>
          <w:szCs w:val="20"/>
        </w:rPr>
        <w:t xml:space="preserve">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«Продавец»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25C39C20" w14:textId="71261647" w:rsidR="007D3287" w:rsidRPr="00D74032" w:rsidRDefault="007D3287" w:rsidP="00D74032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="000349A8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«Покупатель»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5C4950CA" w14:textId="77777777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03AD3512" w14:textId="077718B1" w:rsidR="007D3287" w:rsidRPr="00D74032" w:rsidRDefault="007D3287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I. Предмет Договора</w:t>
      </w:r>
    </w:p>
    <w:p w14:paraId="7EFAF897" w14:textId="77777777" w:rsidR="000349A8" w:rsidRPr="00D74032" w:rsidRDefault="000349A8" w:rsidP="00D74032">
      <w:pPr>
        <w:suppressAutoHyphens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D9A54B" w14:textId="0538FE04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ru-RU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1.1. Продавец на основании Протокола от 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«_______» __________ 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г. об итогах проведения</w:t>
      </w:r>
      <w:r w:rsidR="00C93641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="000B3E18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открытых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торгов в форме </w:t>
      </w:r>
      <w:r w:rsidR="00955CEB">
        <w:rPr>
          <w:rFonts w:ascii="Cambria" w:eastAsia="Times New Roman" w:hAnsi="Cambria" w:cstheme="minorHAnsi"/>
          <w:sz w:val="20"/>
          <w:szCs w:val="20"/>
          <w:lang w:eastAsia="ar-SA"/>
        </w:rPr>
        <w:t>публичного предложения</w:t>
      </w:r>
      <w:r w:rsidR="00D8491A"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на электронной торговой площадке, расположенной в сети интернет по адресу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https://lot-online.ru/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передает Покупателю имущество указанное в пункте 1.1.1,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  </w:t>
      </w:r>
    </w:p>
    <w:p w14:paraId="4EE6461F" w14:textId="050FB15B" w:rsidR="007D3287" w:rsidRPr="00D74032" w:rsidRDefault="007D3287" w:rsidP="00D74032">
      <w:pPr>
        <w:suppressAutoHyphens/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1.1.1. Лот №</w:t>
      </w:r>
      <w:r w:rsidR="00056D89">
        <w:rPr>
          <w:rFonts w:ascii="Cambria" w:eastAsia="Times New Roman" w:hAnsi="Cambria" w:cstheme="minorHAnsi"/>
          <w:sz w:val="20"/>
          <w:szCs w:val="20"/>
          <w:lang w:eastAsia="ar-SA"/>
        </w:rPr>
        <w:t>3:</w:t>
      </w:r>
      <w:r w:rsidR="00056D89" w:rsidRPr="00056D89">
        <w:t xml:space="preserve">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Адаптер для монтажной рейки PTFIX-NS35 Phoenix contact 1 (шт); Вакуумный выключатель 36 kV Distance between pole centers 350 mm 31.5 kA 1250 A operating mechanism EK ЗАН3305-2NF55-OFD9-Z E24+E25+F20+F30+R1G+Y09 5 (шт); Вакуумный выключатель SION ЗАЕ5 7.2 kV 20 kA 800 A Distance between pole centers 150 mm Width across fiats 275 mm ЗАЕ5013-1ВF55-OFD9-Z E16+E20+F30+R1G 19 (шт); Вилки COMBI UPBV 2,5/… с винтовыми зажимами,0,14 – 4 мм2, UPBV 2,5/6 57 (шт); Двухъярусные клеммы – PTTBS 1,5/S/2Р 76 (шт); Держатель маркировки STP 5-2 Phoenix contact 185 (шт); Заглушка для труб 25х25 мм 300 (шт); Заглушка для труб 30х60 мм (150 шт); Заглушка для труб 40х80 мм (70 шт) 364 (шт); Заглушка для труб D=40 мм (150 шт); Заглушка пластиковая 100х100 230 (шт); Заглушка пластиковая 20х20 285 (шт); Заглушка пластиковая 50х25 (по 150 шт) 450 (шт); Заглушка пластиковая 60х30 144 (шт); Заглушка пластиковая внут. Диам.14 800 (шт); Заглушка пластиковая внут. Диам.48 200 (шт); Заглушка пластиковая универсальная d 11мм 250 (шт); Заглушка пластиковая универсальная d 12мм 250 (шт); Заглушка пластиковая универсальная d 13мм 500 (шт); Заглушка пластиковая универсальная d 5.5мм 4000 (шт); Измеритель-регулятор двухканальный 2TPM1-Щ2.У.РР 4 (шт); Изоляционная втулка MPS-IH BK Phoenix contact 6 (шт); Изоляционная втулка MPS-IH BU Phoenix contact 6 (шт); Изоляционная втулка MPS-IH GY Phoenix contact 8 (шт); Изоляционная втулка MPS-IH RD Phoenix contact 6 (шт); Изоляционная втулка MPS-IH WH Phoenix contact 8 (шт); Кабель-канал 100x50 мм 36 (шт); Кабель-канал 100x60 ЭЛЕКОР (8 м) 116 (шт); Кабель-канал 40x17 ТМС (миниканал) (DKC) 480 (шт); Кабель-канал 60x40 ТА-GN IN-Liner (DKC) 58 (шт); Кабель-канал перфорированный 40x100 мм ШxВ 8/12 24 (шт); Кабель-канал перфорированный TS 80x80 мм 6 (шт); Клемма COMBI STTB 2,5/4P-PV 1551 (шт); Клемма PE PT 1,5/S/-PE/L/N многоярусная с контактом Phoenix contact 27 (шт); Клемма PT 1,5/S-3L многоярусная 6 контактов Phoenix contact 319 (шт); Клемма PT 2,5-PE/L/N двухярусная 6 контактов Phoenix contact 44 (шт); Клемма PT 2,5-TWIN/1P-PE защитного провода Phoenix contact 135 (шт); Клемма PT 6-HESI (6,3X32) для установки предохранителей Phoenix contact 50 (шт); Клемма PTRV 4-PV/BK 4-я/16 конт. Phoenix contact 14 (шт); Клемма PTTB 1,5/S двухъярусная 4 контакта Phoenix contact 95 (шт); Клемма PTTB 1,5/S-L/N двухъярусная 4 контакта Phoenix contact 28 (шт); Клемма PTTB 1,5/S-PE двухъярусная 4 контакта Phoenix contact 28 (шт); Клемма PTTB 2,5 TWIN-PE двухъярусная Phoenix contact 75 (шт); Клемма ST 2,5- TWIN –MT/1P Phoenix contact 368 (шт); Клемма ST 2,5- TWIN –YE Phoenix contact 47 (шт); Клемма ST 2,5-MT OG Phoenix contact 2 (шт); Клемма ST 2,5-MT-MGY с ножевыми размыкателями Phoenix contact 50 (шт); Клемма ST 4 Phoenix contact 63 (шт); Клемма STTB 2,5- TWIN двухъярусная Phoenix contact 49 (шт); Клемма TB 16 I Phoenix contact 20 (шт); Клемма TB 4-TG I серая Phoenix contact 9 (шт); Клемма UHV240-KH/AS Phoenix contact 84 (шт); Клемма UKH50-FE-IB Phoenix contact 20 (шт); Клемма UT 2,5/1P Phoenix contact 90 (шт); Клемма UT 35-PE/S Phoenix contact 1 (шт); Клемма болтовая RT3 Phoenix contact 23 (шт); Клемма болтовая RT8 Phoenix contact 36 (шт); Клемма винтовая RT5 BU Phoenix contact 38 (шт); Клемма винтовая RT5 PE Phoenix contact 38 (шт); Клемма винтовая RT5 Phoenix contact 16 (шт); Клемма с зажимом push-in PT 10-TWIN Phoenix contact 3 (шт); Клемма с зажимом push-in PT 6-TWIN Phoenix contact 42 (шт); Клемма с ножевым размыкателем PT 1,5/S-MT 49 (шт); Колесная опора большегрузная неповор. Полиурет. ED02/VBP80 8 (шт); Колпачек терм. 315C D=7,92,L-25mm, 40mm 2 000 (шт); Колпачек терм. 315С D=4.37, L=25mm, 40mm 1 000 (шт); Колпачек терм. До 315С EC 468-1000 500 (шт); Концевая крышка – D-PT 6 36 (шт); Концевая крышка – D-ST 6 Phoenix contact 9 (шт); Концевой стопор E/TB Phoenix contact 11 (шт); Короб перфорированный 100x40 серый RL6 (DKC) не поставляется 352 (шт); Короб перфорированный 100x60 серый RL6 (DKC) 20 (шт); Короб перфорированный 120x60 серый RL6 (DKC) 4 (шт); Короб перфорированный 25x25 серый TD (DKC) (48 м) 2 (шт); Короб перфорированный 25x80 серый RL6 (48 м) (DKC) 237 (шт); Короб перфорированный 40x40 ИМПАКТ ИЭК 49 (шт); Короб перфорированный 40x40 серый RL12 (40 м) (DKC) 91 (шт); Короб перфорированный 60x100 серый RL12 (DKC) 28 (шт); Крышка COMBI D-STTB 2,5/4P 122 (шт); Крышка D-PT 1,5/S-3L Phoenix contact 17 (шт); Крышка D-PT 2,5-3L Phoenix contact 3 (шт); Крышка D-PT10- TWIN Phoenix contact 1 (шт); Крышка D-PTRV 8 WH 1-8 Phoenix contact 10 (шт); Крышка D-PTS 1,5/S Phoenix contact 6 (шт); Крышка D-PTTB 1,5/S Phoenix contact 20 (шт); Крышка D-PTTBS- 2,5 TWIN Phoenix contact 440 (шт); Крышка D-QTC 2,5 Phoenix contact 3 (шт); Крышка D-RT 3/5 Phoenix contact 23 (шт); Крышка D-RT8 Phoenix contact 14 (шт); Крышка D-STTB 2,5 – TWIN Phoenix contact 184 (шт); Крышка D-UT 2,5/10 BU Phoenix contact 140 (шт); Крышка UHV 25-AH Phoenix contact 14 </w:t>
      </w:r>
      <w:r w:rsidR="00056D89" w:rsidRPr="00056D89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(шт); Крышка UHV- E Phoenix contact 57 (шт); Крышка UHV240-AH Phoenix contact 11 (шт); Манометр ТМ610 Р.03(0-10) кгс/см2 М20х1,5 кл 1,5 1 (шт); Маркировка ZB 10, LGS: FORTL.ZAHLEN 1-10 Phoenix contact 38 (шт); Маркировка ZB 10, LGS: FORTL.ZAHLEN 11-20 Phoenix contact 40 (шт); Маркировка ZB 10, LGS: FORTL.ZAHLEN 21-30 Phoenix contact 40 (шт); Маркировка ZB 3,5 LGS: FORTL.ZAHLEN 1-10 Phoenix contact 80 (шт); Маркировка ZB 3,5 LGS: FORTL.ZAHLEN 11-20 Phoenix contact 100 (шт); Маркировка ZBF 8 UNBEDRUCKT Phoenix contact 540 (шт); Маркировка бокового паза Zack 5,08 UNBEDRUCKT Phoenix contact 177 (шт); Микропроцессорное реле времени двухканальное УТ24-Щ1.Р 2 (шт); Наконечник ТМЛ 10-6-5 (КВТ) 500 (шт); Наконечник ТМЛ 16-6-6 (КВТ) 500 (шт); Наконечник ТМЛ 16-8-6 (КВТ) 300 (шт); Наконечник ТМЛ 35-12-9 (КВТ) 10 (шт); Наконечник ТМЛ 35-8-9 (КВТ) 50 (шт); Наконечник ТМЛ 50-10-11 (КВТ) 500 (шт); Наконечник ТМЛ 95-12-15 (КВТ) 4 (шт); Одиночное реле REL-MR-230AC/21-21/МS (2987972) Phoenix contact 5 (шт); Полоска Zack с обозначениями поперек полосы, плоская, 10 элементов, цифры 1-10, ZBF 3.5 Phoenix contact 229 (шт); Полоска Zack с обозначениями поперек полосы, плоская, 10 элементов, цифры 11-20, ZBF 3.5 Phoenix contact 189 (шт); Полоска Zack с обозначениями поперек полосы, плоская, 10 элементов, цифры 21-30, ZBF 3.5 Phoenix contact 129 (шт); Полоска Zack с обозначениями поперек полосы, плоская, 10 элементов, цифры 31-40, ZBF 3.5 Phoenix contact 110 (шт); Промышленный коммутатор FL SWITCH SFNB 4TX/FX SM20 Phoenix contact 1 (шт); Проходные клеммы – PT 6/1 180 (шт); Разделитель для кабель-канала 60/40 01445 51 (шт); Разделительная пластина ATP-UT-TWIN 63 1x2, 2x52,5 сер Phoenix contact 51 (шт); Разделительная пластина UHV-TP2 Phoenix contact 88 (шт); Табличка для групповой маркировки GBS 3,5-25X3,5 Phoenix contact 63 (шт); Торцевая крышка D-PPC 6 26 (шт); Трансформатор ТОЛ-НТЗ-10-11С-0.5SFs10/0.5Fs10/10P10-5/5/15-200/5 20кА УХЛ2 (выводы 5 м) 6 (шт); Трансформатор ТОЛ-НТЗ-10-12С-0.2SFs10/0.5Fs10/10P10/10P10-5/5/30/30-400/5 40кА УХЛ2 (выводы 5 м) 6 (шт); Шкаф оперативного постоянного тока ШОТ-01 220-12-17-125-4-24-31УХЛ4 1 (шт); Шпилька запрессовочная М4х16 сталь оц. 100 (шт); Шпилька запрессовочная М4х20 сталь оц. 2 000 (шт); Шпилька запрессовочная М4х25 сталь оц. 1 000 (шт); Шпилька запрессовочная М6х10 сталь оц. 3 000 (шт); Шпилька запрессовочная М6х12 алюмин 4 000 (шт); Шпилька запрессовочная М8х12 сталь оц. 1976 (шт); Шпилька приварная сталь омедненная М8х20 CFT 518 (шт); Штекер COMBI PP-H 2,5/1-M 1 377 (шт); Штекер COMBI PP-H 2,5/1-R 184 (шт); Штекер COMBI PP-H 2,5/6 2 (шт); Штекер COMBI правый элемент PP-H 1.5/S/1-R 6 (шт); Штекер PP-H 2,5/3 Phoenix contact 27 (шт); Штекер PP-H 2,5/7 Phoenix contact 6 (шт); Штекер-PP-H 2,5/5 3 (шт).</w:t>
      </w:r>
      <w:r w:rsidR="000B3E18" w:rsidRPr="00D74032">
        <w:rPr>
          <w:rFonts w:ascii="Cambria" w:hAnsi="Cambria" w:cstheme="minorHAnsi"/>
          <w:sz w:val="20"/>
          <w:szCs w:val="20"/>
        </w:rPr>
        <w:t>.</w:t>
      </w:r>
    </w:p>
    <w:p w14:paraId="4EAF1F87" w14:textId="77777777" w:rsidR="007D3287" w:rsidRPr="00D74032" w:rsidRDefault="007D3287" w:rsidP="00D74032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1.2. Продавец гарантирует, что на момент заключения настоящего Договора имущество никому другому не продано. </w:t>
      </w:r>
    </w:p>
    <w:p w14:paraId="1444EB7B" w14:textId="77777777" w:rsidR="007D3287" w:rsidRPr="00D74032" w:rsidRDefault="007D3287" w:rsidP="00D74032">
      <w:pPr>
        <w:tabs>
          <w:tab w:val="left" w:pos="-142"/>
        </w:tabs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30A80DC" w14:textId="0DAA62DB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Стоимость Имущества и порядок его оплаты</w:t>
      </w:r>
    </w:p>
    <w:p w14:paraId="5C9F14B1" w14:textId="77777777" w:rsidR="000349A8" w:rsidRPr="00D74032" w:rsidRDefault="000349A8" w:rsidP="00D74032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4FE5416" w14:textId="77777777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2.1. Стоимость Имущества, указанного в п. 1.1.1. настоящего договора, определена на основании предложения Покупателя о цене в соответствии с протоколом о результатах проведения торгов по лоту </w:t>
      </w:r>
      <w:r w:rsidRPr="00D74032">
        <w:rPr>
          <w:rFonts w:ascii="Cambria" w:eastAsia="Times New Roman" w:hAnsi="Cambria" w:cstheme="minorHAnsi"/>
          <w:sz w:val="20"/>
          <w:szCs w:val="20"/>
          <w:highlight w:val="yellow"/>
          <w:lang w:eastAsia="ar-SA"/>
        </w:rPr>
        <w:t>№______ от 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г. и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____,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(НДС не облагается).</w:t>
      </w:r>
    </w:p>
    <w:p w14:paraId="1BEC9381" w14:textId="2A7459BC" w:rsidR="007D3287" w:rsidRPr="00D74032" w:rsidRDefault="007D3287" w:rsidP="00D74032">
      <w:pPr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С учетом уплаченного Покупателем на дату заключения настоящего договора задатка в сумме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руб.., без учета НДС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доплата стоимости Имущества, причитающаяся с Покупателя Продавцу составляет </w:t>
      </w:r>
      <w:r w:rsidRPr="00D74032">
        <w:rPr>
          <w:rFonts w:ascii="Cambria" w:eastAsia="Times New Roman" w:hAnsi="Cambria" w:cstheme="minorHAnsi"/>
          <w:bCs/>
          <w:sz w:val="20"/>
          <w:szCs w:val="20"/>
          <w:highlight w:val="yellow"/>
          <w:lang w:eastAsia="ar-SA"/>
        </w:rPr>
        <w:t>_________________</w:t>
      </w:r>
      <w:r w:rsidRPr="00D74032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руб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Задаток засчитывается в счет оплаты цены за Имущество.</w:t>
      </w:r>
    </w:p>
    <w:p w14:paraId="5DE38897" w14:textId="77777777" w:rsidR="007D3287" w:rsidRPr="00D74032" w:rsidRDefault="007D3287" w:rsidP="00D74032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2.2. Оплата суммы, указанной в пункте 2.1. настоящего Договора, производится Покупателем не позднее 30 (тридцати) дней с момента подписания настоящего Договора безналичным расчетом, путем перечисления денежных средств по реквизитам Продавца, указанным в разделе 8 настоящего Договора.</w:t>
      </w:r>
    </w:p>
    <w:p w14:paraId="66349855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AC4F4C9" w14:textId="5DE9BFC9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Передача Имущества</w:t>
      </w:r>
    </w:p>
    <w:p w14:paraId="6B6F7B07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96FE3E0" w14:textId="4185DF44" w:rsidR="00D74032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3.1. Имущество передается Покупателю по месту его нахождения.</w:t>
      </w:r>
    </w:p>
    <w:p w14:paraId="3DFAD3C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A9C2C33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3.3. Передача Имущества должна быть осуществлена Продавцом не позднее 10 (десяти) дней со дня полной оплаты Покупателем суммы за Имущество.</w:t>
      </w:r>
    </w:p>
    <w:p w14:paraId="34587A5E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3.4. Все необходимые расходы по государственной регистрации перехода прав на Имущество несет Покупатель.</w:t>
      </w:r>
    </w:p>
    <w:p w14:paraId="415B39D2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63C606AD" w14:textId="2ECFA2CC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IV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Переход права собственности на Имущество</w:t>
      </w:r>
    </w:p>
    <w:p w14:paraId="6EA52B45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3EFB0F70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4.1. Переход права собственности на Имущество к Покупателю происходит в порядке, установленном действующим законодательством РФ.</w:t>
      </w:r>
    </w:p>
    <w:p w14:paraId="408C0771" w14:textId="77777777" w:rsidR="007D3287" w:rsidRPr="00D74032" w:rsidRDefault="007D3287" w:rsidP="00D74032">
      <w:pPr>
        <w:shd w:val="clear" w:color="auto" w:fill="FFFFFF"/>
        <w:spacing w:after="0" w:line="240" w:lineRule="auto"/>
        <w:ind w:right="17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57064607" w14:textId="5179FAFD" w:rsidR="007D3287" w:rsidRPr="00D74032" w:rsidRDefault="007D3287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Ответственность сторон</w:t>
      </w:r>
    </w:p>
    <w:p w14:paraId="4F9E9EBD" w14:textId="77777777" w:rsidR="000349A8" w:rsidRPr="00D74032" w:rsidRDefault="000349A8" w:rsidP="00D74032">
      <w:pPr>
        <w:shd w:val="clear" w:color="auto" w:fill="FFFFFF"/>
        <w:spacing w:after="0" w:line="240" w:lineRule="auto"/>
        <w:ind w:right="45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6B95B6D" w14:textId="77777777" w:rsidR="007D3287" w:rsidRPr="00D74032" w:rsidRDefault="007D3287" w:rsidP="00D74032">
      <w:pPr>
        <w:shd w:val="clear" w:color="auto" w:fill="FFFFFF"/>
        <w:spacing w:after="0" w:line="240" w:lineRule="auto"/>
        <w:ind w:right="11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FF5391E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5.2. Стороны договорились, что непоступление денежных средств в счет оплаты Имущества в сумме и в сроки, 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lastRenderedPageBreak/>
        <w:t>обязательств по настоящему Договору (расторгнуть в одностороннем порядке Договор), письменно уведомив Покупателя о прекращении действия настоящего Договора.</w:t>
      </w:r>
    </w:p>
    <w:p w14:paraId="6D9D098A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C83E493" w14:textId="77777777" w:rsidR="007D3287" w:rsidRPr="00D74032" w:rsidRDefault="007D3287" w:rsidP="00D74032">
      <w:pPr>
        <w:shd w:val="clear" w:color="auto" w:fill="FFFFFF"/>
        <w:spacing w:after="0" w:line="240" w:lineRule="auto"/>
        <w:ind w:right="6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просрочки.</w:t>
      </w:r>
    </w:p>
    <w:p w14:paraId="2AE4B58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3155CAE" w14:textId="0194F488" w:rsidR="007D3287" w:rsidRPr="00D74032" w:rsidRDefault="007D3287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Прочие условия</w:t>
      </w:r>
    </w:p>
    <w:p w14:paraId="4A75BA88" w14:textId="77777777" w:rsidR="000349A8" w:rsidRPr="00D74032" w:rsidRDefault="000349A8" w:rsidP="00D74032">
      <w:pPr>
        <w:shd w:val="clear" w:color="auto" w:fill="FFFFFF"/>
        <w:spacing w:after="0" w:line="240" w:lineRule="auto"/>
        <w:ind w:right="11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591481F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6.1. Настоящий Договор вступает в силу с момента его подписания и прекращает свое действие при:</w:t>
      </w:r>
    </w:p>
    <w:p w14:paraId="318876A0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надлежащем исполнении Сторонами условий настоящего Договора;</w:t>
      </w:r>
    </w:p>
    <w:p w14:paraId="5B3B95CA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расторжении в предусмотренных федеральным законодательством и настоящим Договором случаях;</w:t>
      </w:r>
    </w:p>
    <w:p w14:paraId="17EE5308" w14:textId="77777777" w:rsidR="007D3287" w:rsidRPr="00D74032" w:rsidRDefault="007D3287" w:rsidP="00D74032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возникновении иных оснований, предусмотренных законодательством Российской Федерации.</w:t>
      </w:r>
    </w:p>
    <w:p w14:paraId="2CF41BEB" w14:textId="43C6CA9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BDFE130" w14:textId="11AF75CA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3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уведомления и сообщения должны направляться Сторонами в письменной форме.</w:t>
      </w:r>
    </w:p>
    <w:p w14:paraId="46CEA79C" w14:textId="13B1E818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4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</w:p>
    <w:p w14:paraId="0100D5DB" w14:textId="43F4002E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6.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5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. При неурегулировании в процессе переговоров спорных вопросов, споры разрешаются в суде в порядке, установленном федеральным законодательством Российской Федерации.</w:t>
      </w:r>
    </w:p>
    <w:p w14:paraId="1818DF4B" w14:textId="77777777" w:rsidR="007D3287" w:rsidRPr="00D74032" w:rsidRDefault="007D3287" w:rsidP="00D74032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0D3B0496" w14:textId="133CA8E8" w:rsidR="007D3287" w:rsidRPr="00D74032" w:rsidRDefault="007D3287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Заключительные положения</w:t>
      </w:r>
    </w:p>
    <w:p w14:paraId="19288382" w14:textId="77777777" w:rsidR="000349A8" w:rsidRPr="00D74032" w:rsidRDefault="000349A8" w:rsidP="00D74032">
      <w:pPr>
        <w:shd w:val="clear" w:color="auto" w:fill="FFFFFF"/>
        <w:spacing w:after="0" w:line="240" w:lineRule="auto"/>
        <w:ind w:right="74"/>
        <w:jc w:val="center"/>
        <w:rPr>
          <w:rFonts w:ascii="Cambria" w:eastAsia="Times New Roman" w:hAnsi="Cambria" w:cstheme="minorHAnsi"/>
          <w:sz w:val="20"/>
          <w:szCs w:val="20"/>
          <w:lang w:eastAsia="ar-SA"/>
        </w:rPr>
      </w:pPr>
    </w:p>
    <w:p w14:paraId="2C2BA049" w14:textId="108B0FA3" w:rsidR="007D3287" w:rsidRPr="00D74032" w:rsidRDefault="007D3287" w:rsidP="00D74032">
      <w:pPr>
        <w:shd w:val="clear" w:color="auto" w:fill="FFFFFF"/>
        <w:spacing w:after="0" w:line="240" w:lineRule="auto"/>
        <w:ind w:right="159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7.1. Настоящий Договор, составлен в </w:t>
      </w:r>
      <w:r w:rsidR="00D74032" w:rsidRPr="00D74032">
        <w:rPr>
          <w:rFonts w:ascii="Cambria" w:eastAsia="Times New Roman" w:hAnsi="Cambria" w:cstheme="minorHAnsi"/>
          <w:sz w:val="20"/>
          <w:szCs w:val="20"/>
          <w:lang w:eastAsia="ar-SA"/>
        </w:rPr>
        <w:t>двух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экземплярах, имеющих одинаковую юридическую силу, по одному экземпляру для каждой из Сторон и экземпляр для уполномоченного регистрирующего органа.</w:t>
      </w:r>
    </w:p>
    <w:p w14:paraId="1FE0AE05" w14:textId="77777777" w:rsidR="00051D87" w:rsidRPr="00D74032" w:rsidRDefault="00051D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p w14:paraId="5EC418E1" w14:textId="4249C0AF" w:rsidR="007D3287" w:rsidRPr="00D74032" w:rsidRDefault="007D3287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bCs/>
          <w:sz w:val="20"/>
          <w:szCs w:val="20"/>
          <w:lang w:val="en-US" w:eastAsia="ar-SA"/>
        </w:rPr>
        <w:t>VIII</w:t>
      </w:r>
      <w:r w:rsidRPr="00D74032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>. Реквизиты и подписи Сторон</w:t>
      </w:r>
    </w:p>
    <w:p w14:paraId="2271C4BB" w14:textId="77777777" w:rsidR="000349A8" w:rsidRPr="00D74032" w:rsidRDefault="000349A8" w:rsidP="00D7403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</w:pPr>
    </w:p>
    <w:tbl>
      <w:tblPr>
        <w:tblW w:w="10078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7D3287" w:rsidRPr="00D74032" w14:paraId="7746A399" w14:textId="77777777" w:rsidTr="005837D5">
        <w:trPr>
          <w:jc w:val="center"/>
        </w:trPr>
        <w:tc>
          <w:tcPr>
            <w:tcW w:w="4935" w:type="dxa"/>
            <w:shd w:val="clear" w:color="auto" w:fill="auto"/>
          </w:tcPr>
          <w:p w14:paraId="20C7E467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bookmarkStart w:id="1" w:name="_Hlk164861264"/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Продавец:</w:t>
            </w:r>
          </w:p>
          <w:p w14:paraId="115FB6D6" w14:textId="56128796" w:rsidR="007D3287" w:rsidRPr="00D74032" w:rsidRDefault="00D74032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  <w:t>Конкурсный управляющий ООО «Стройресурс» Минин максим Александрович</w:t>
            </w:r>
          </w:p>
        </w:tc>
        <w:tc>
          <w:tcPr>
            <w:tcW w:w="283" w:type="dxa"/>
            <w:shd w:val="clear" w:color="auto" w:fill="auto"/>
          </w:tcPr>
          <w:p w14:paraId="1FF5E62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378AC7F9" w14:textId="77777777" w:rsidR="007D3287" w:rsidRPr="00D74032" w:rsidRDefault="007D3287" w:rsidP="00D74032">
            <w:pPr>
              <w:spacing w:after="0" w:line="240" w:lineRule="auto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Покупатель:</w:t>
            </w:r>
          </w:p>
          <w:p w14:paraId="62266D94" w14:textId="77777777" w:rsidR="007D3287" w:rsidRPr="00D74032" w:rsidRDefault="007D3287" w:rsidP="00D74032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7D3287" w:rsidRPr="00D74032" w14:paraId="3D386529" w14:textId="77777777" w:rsidTr="005837D5">
        <w:trPr>
          <w:trHeight w:val="1334"/>
          <w:jc w:val="center"/>
        </w:trPr>
        <w:tc>
          <w:tcPr>
            <w:tcW w:w="4935" w:type="dxa"/>
            <w:shd w:val="clear" w:color="auto" w:fill="auto"/>
          </w:tcPr>
          <w:p w14:paraId="3A2D24A7" w14:textId="3A306A98" w:rsidR="007D3287" w:rsidRPr="00D74032" w:rsidRDefault="00D74032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hAnsi="Cambria" w:cstheme="minorHAnsi"/>
                <w:sz w:val="20"/>
                <w:szCs w:val="20"/>
              </w:rPr>
              <w:t xml:space="preserve">получатель: </w:t>
            </w:r>
            <w:r w:rsidR="00056D89" w:rsidRPr="00056D89">
              <w:rPr>
                <w:rFonts w:ascii="Cambria" w:hAnsi="Cambria" w:cstheme="minorHAnsi"/>
                <w:sz w:val="20"/>
                <w:szCs w:val="20"/>
              </w:rPr>
              <w:t>ООО "СТРОЙРЕСУРС" (ИНН 7708294470), р/с 40702810612010817067, банк Филиал "Корпоративный" ПАО "Совкомбанк" (г. Москва), к/с 30101810445250000360, БИК 044525360</w:t>
            </w:r>
          </w:p>
        </w:tc>
        <w:tc>
          <w:tcPr>
            <w:tcW w:w="283" w:type="dxa"/>
            <w:shd w:val="clear" w:color="auto" w:fill="auto"/>
          </w:tcPr>
          <w:p w14:paraId="70E3F734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748F6C3D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</w:tr>
      <w:tr w:rsidR="007D3287" w:rsidRPr="00D74032" w14:paraId="2E874E1F" w14:textId="77777777" w:rsidTr="005837D5">
        <w:trPr>
          <w:trHeight w:val="318"/>
          <w:jc w:val="center"/>
        </w:trPr>
        <w:tc>
          <w:tcPr>
            <w:tcW w:w="4935" w:type="dxa"/>
            <w:shd w:val="clear" w:color="auto" w:fill="auto"/>
          </w:tcPr>
          <w:p w14:paraId="378D9942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7D6CB082" w14:textId="08D5364F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________________________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.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А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D74032"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>Минин</w:t>
            </w:r>
          </w:p>
          <w:p w14:paraId="4E3D37C4" w14:textId="5365A4B6" w:rsidR="00CA0057" w:rsidRPr="00D74032" w:rsidRDefault="00CA005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1D913C49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14:paraId="67C28D71" w14:textId="77777777" w:rsidR="007D3287" w:rsidRPr="00D74032" w:rsidRDefault="007D3287" w:rsidP="00D74032">
            <w:pPr>
              <w:snapToGrid w:val="0"/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</w:p>
          <w:p w14:paraId="2DB9087C" w14:textId="77777777" w:rsidR="007D3287" w:rsidRPr="00D74032" w:rsidRDefault="007D3287" w:rsidP="00D74032">
            <w:pPr>
              <w:spacing w:after="0" w:line="240" w:lineRule="auto"/>
              <w:jc w:val="both"/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highlight w:val="yellow"/>
                <w:lang w:eastAsia="ar-SA"/>
              </w:rPr>
              <w:t>_______________________</w:t>
            </w:r>
            <w:r w:rsidRPr="00D74032">
              <w:rPr>
                <w:rFonts w:ascii="Cambria" w:eastAsia="Times New Roman" w:hAnsi="Cambria" w:cstheme="minorHAnsi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1"/>
    </w:tbl>
    <w:p w14:paraId="621F7CD2" w14:textId="77777777" w:rsidR="007E240A" w:rsidRPr="00D74032" w:rsidRDefault="007E240A" w:rsidP="00D74032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sectPr w:rsidR="007E240A" w:rsidRPr="00D74032" w:rsidSect="00DF66E9">
      <w:footerReference w:type="default" r:id="rId7"/>
      <w:pgSz w:w="11906" w:h="16838"/>
      <w:pgMar w:top="720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8FE1" w14:textId="77777777" w:rsidR="00506088" w:rsidRDefault="00506088">
      <w:pPr>
        <w:spacing w:after="0" w:line="240" w:lineRule="auto"/>
      </w:pPr>
      <w:r>
        <w:separator/>
      </w:r>
    </w:p>
  </w:endnote>
  <w:endnote w:type="continuationSeparator" w:id="0">
    <w:p w14:paraId="23660822" w14:textId="77777777" w:rsidR="00506088" w:rsidRDefault="005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3B01" w14:textId="77777777" w:rsidR="00B51263" w:rsidRDefault="005060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23CF" w14:textId="77777777" w:rsidR="00506088" w:rsidRDefault="00506088">
      <w:pPr>
        <w:spacing w:after="0" w:line="240" w:lineRule="auto"/>
      </w:pPr>
      <w:r>
        <w:separator/>
      </w:r>
    </w:p>
  </w:footnote>
  <w:footnote w:type="continuationSeparator" w:id="0">
    <w:p w14:paraId="5A659429" w14:textId="77777777" w:rsidR="00506088" w:rsidRDefault="0050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B1"/>
    <w:rsid w:val="000349A8"/>
    <w:rsid w:val="00035FB1"/>
    <w:rsid w:val="00051D87"/>
    <w:rsid w:val="00056D89"/>
    <w:rsid w:val="000B3E18"/>
    <w:rsid w:val="00112968"/>
    <w:rsid w:val="00176B2D"/>
    <w:rsid w:val="001F6465"/>
    <w:rsid w:val="00222962"/>
    <w:rsid w:val="0030173B"/>
    <w:rsid w:val="003C6F1B"/>
    <w:rsid w:val="004745C9"/>
    <w:rsid w:val="00484DCF"/>
    <w:rsid w:val="004C0A17"/>
    <w:rsid w:val="00506088"/>
    <w:rsid w:val="005837D5"/>
    <w:rsid w:val="006D3A81"/>
    <w:rsid w:val="007D3287"/>
    <w:rsid w:val="007E240A"/>
    <w:rsid w:val="00841EF5"/>
    <w:rsid w:val="008B2798"/>
    <w:rsid w:val="008C3B93"/>
    <w:rsid w:val="00955CEB"/>
    <w:rsid w:val="009F52D0"/>
    <w:rsid w:val="00A93EA3"/>
    <w:rsid w:val="00AC30CF"/>
    <w:rsid w:val="00AE62B2"/>
    <w:rsid w:val="00BE5374"/>
    <w:rsid w:val="00C61742"/>
    <w:rsid w:val="00C93641"/>
    <w:rsid w:val="00CA0057"/>
    <w:rsid w:val="00D041A0"/>
    <w:rsid w:val="00D74032"/>
    <w:rsid w:val="00D8491A"/>
    <w:rsid w:val="00DD3EBC"/>
    <w:rsid w:val="00DF66E9"/>
    <w:rsid w:val="00E461D1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E031"/>
  <w15:chartTrackingRefBased/>
  <w15:docId w15:val="{6672F203-45BB-41B7-8B1E-8307F6F9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32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rsid w:val="007D32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48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4DCF"/>
  </w:style>
  <w:style w:type="paragraph" w:customStyle="1" w:styleId="1">
    <w:name w:val="Обычный1"/>
    <w:rsid w:val="00DD3EB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7">
    <w:name w:val="List Paragraph"/>
    <w:basedOn w:val="a"/>
    <w:uiPriority w:val="34"/>
    <w:qFormat/>
    <w:rsid w:val="00DF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2024-09-12T13:09:00Z</dcterms:created>
  <dcterms:modified xsi:type="dcterms:W3CDTF">2026-03-24T12:46:00Z</dcterms:modified>
</cp:coreProperties>
</file>