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33" w:type="dxa"/>
        <w:jc w:val="left"/>
        <w:tblInd w:w="-39" w:type="dxa"/>
        <w:tblLayout w:type="fixed"/>
        <w:tblCellMar>
          <w:top w:w="0" w:type="dxa"/>
          <w:left w:w="0" w:type="dxa"/>
          <w:bottom w:w="0" w:type="dxa"/>
          <w:right w:w="0" w:type="dxa"/>
        </w:tblCellMar>
      </w:tblPr>
      <w:tblGrid>
        <w:gridCol w:w="5041"/>
        <w:gridCol w:w="671"/>
        <w:gridCol w:w="937"/>
        <w:gridCol w:w="949"/>
        <w:gridCol w:w="947"/>
        <w:gridCol w:w="952"/>
        <w:gridCol w:w="936"/>
      </w:tblGrid>
      <w:tr>
        <w:trPr>
          <w:trHeight w:val="315"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ДОГОВОР</w:t>
            </w:r>
          </w:p>
        </w:tc>
      </w:tr>
      <w:tr>
        <w:trPr>
          <w:trHeight w:val="270"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о передаче прав и обязанностей по договору аренды</w:t>
            </w:r>
          </w:p>
        </w:tc>
      </w:tr>
      <w:tr>
        <w:trPr>
          <w:trHeight w:val="270" w:hRule="exact"/>
        </w:trPr>
        <w:tc>
          <w:tcPr>
            <w:tcW w:w="9497" w:type="dxa"/>
            <w:gridSpan w:val="6"/>
            <w:tcBorders/>
          </w:tcPr>
          <w:p>
            <w:pPr>
              <w:pStyle w:val="Normal"/>
              <w:widowControl w:val="false"/>
              <w:snapToGrid w:val="false"/>
              <w:spacing w:before="0" w:after="0"/>
              <w:jc w:val="both"/>
              <w:rPr>
                <w:rFonts w:ascii="Times New Roman" w:hAnsi="Times New Roman" w:cs="Times New Roman"/>
                <w:sz w:val="20"/>
                <w:szCs w:val="20"/>
              </w:rPr>
            </w:pPr>
            <w:r>
              <w:rPr>
                <w:rFonts w:cs="Times New Roman" w:ascii="Times New Roman" w:hAnsi="Times New Roman"/>
                <w:sz w:val="20"/>
                <w:szCs w:val="20"/>
              </w:rPr>
            </w:r>
          </w:p>
        </w:tc>
        <w:tc>
          <w:tcPr>
            <w:tcW w:w="936" w:type="dxa"/>
            <w:tcBorders/>
            <w:vAlign w:val="bottom"/>
          </w:tcPr>
          <w:p>
            <w:pPr>
              <w:pStyle w:val="Normal"/>
              <w:widowControl w:val="false"/>
              <w:snapToGrid w:val="false"/>
              <w:spacing w:before="0" w:after="0"/>
              <w:jc w:val="both"/>
              <w:rPr>
                <w:rFonts w:ascii="Times New Roman" w:hAnsi="Times New Roman" w:cs="Times New Roman"/>
                <w:sz w:val="20"/>
                <w:szCs w:val="20"/>
              </w:rPr>
            </w:pPr>
            <w:r>
              <w:rPr>
                <w:rFonts w:cs="Times New Roman" w:ascii="Times New Roman" w:hAnsi="Times New Roman"/>
                <w:sz w:val="20"/>
                <w:szCs w:val="20"/>
              </w:rPr>
            </w:r>
          </w:p>
        </w:tc>
      </w:tr>
      <w:tr>
        <w:trPr>
          <w:trHeight w:val="300" w:hRule="exact"/>
        </w:trPr>
        <w:tc>
          <w:tcPr>
            <w:tcW w:w="10433" w:type="dxa"/>
            <w:gridSpan w:val="7"/>
            <w:tcBorders/>
            <w:vAlign w:val="bottom"/>
          </w:tcPr>
          <w:p>
            <w:pPr>
              <w:pStyle w:val="Normal"/>
              <w:widowControl w:val="false"/>
              <w:spacing w:before="0" w:after="0"/>
              <w:jc w:val="both"/>
              <w:rPr>
                <w:rFonts w:ascii="Times New Roman" w:hAnsi="Times New Roman" w:cs="Times New Roman"/>
                <w:sz w:val="20"/>
                <w:szCs w:val="20"/>
              </w:rPr>
            </w:pPr>
            <w:r>
              <w:rPr>
                <w:rFonts w:cs="Times New Roman" w:ascii="Times New Roman" w:hAnsi="Times New Roman"/>
                <w:sz w:val="20"/>
                <w:szCs w:val="20"/>
              </w:rPr>
              <w:t>Мы, нижеподписавшиеся:</w:t>
            </w:r>
          </w:p>
        </w:tc>
      </w:tr>
      <w:tr>
        <w:trPr>
          <w:trHeight w:val="945" w:hRule="exact"/>
        </w:trPr>
        <w:tc>
          <w:tcPr>
            <w:tcW w:w="10433" w:type="dxa"/>
            <w:gridSpan w:val="7"/>
            <w:tcBorders/>
            <w:vAlign w:val="bottom"/>
          </w:tcPr>
          <w:p>
            <w:pPr>
              <w:pStyle w:val="Normal"/>
              <w:widowControl w:val="false"/>
              <w:suppressAutoHyphens w:val="true"/>
              <w:bidi w:val="0"/>
              <w:spacing w:before="0" w:after="0"/>
              <w:ind w:right="0"/>
              <w:jc w:val="both"/>
              <w:rPr/>
            </w:pPr>
            <w:r>
              <w:rPr>
                <w:rFonts w:cs="Times New Roman" w:ascii="Times New Roman" w:hAnsi="Times New Roman"/>
                <w:sz w:val="20"/>
                <w:szCs w:val="20"/>
                <w:shd w:fill="auto" w:val="clear"/>
              </w:rPr>
              <w:t>Гражданин РФ  , в лице Гражданина РФ Финансового управляющего , действующего на основании решения Арбитражного суда  по делу №, именуемый в дальнейшем «</w:t>
            </w:r>
            <w:r>
              <w:rPr>
                <w:rFonts w:eastAsia="NSimSun" w:cs="Times New Roman" w:ascii="Times New Roman" w:hAnsi="Times New Roman"/>
                <w:color w:val="000000"/>
                <w:kern w:val="0"/>
                <w:sz w:val="20"/>
                <w:szCs w:val="20"/>
                <w:shd w:fill="auto" w:val="clear"/>
                <w:lang w:val="ru-RU" w:eastAsia="zh-CN" w:bidi="hi-IN"/>
              </w:rPr>
              <w:t>Арендатор</w:t>
            </w:r>
            <w:r>
              <w:rPr>
                <w:rFonts w:cs="Times New Roman" w:ascii="Times New Roman" w:hAnsi="Times New Roman"/>
                <w:sz w:val="20"/>
                <w:szCs w:val="20"/>
                <w:shd w:fill="auto" w:val="clear"/>
              </w:rPr>
              <w:t>», с одной стороны, и</w:t>
            </w:r>
          </w:p>
        </w:tc>
      </w:tr>
      <w:tr>
        <w:trPr>
          <w:trHeight w:val="733" w:hRule="exact"/>
        </w:trPr>
        <w:tc>
          <w:tcPr>
            <w:tcW w:w="10433" w:type="dxa"/>
            <w:gridSpan w:val="7"/>
            <w:tcBorders/>
            <w:vAlign w:val="bottom"/>
          </w:tcPr>
          <w:p>
            <w:pPr>
              <w:pStyle w:val="Normal"/>
              <w:widowControl w:val="false"/>
              <w:suppressAutoHyphens w:val="true"/>
              <w:bidi w:val="0"/>
              <w:spacing w:lineRule="auto" w:line="240" w:before="0" w:after="0"/>
              <w:ind w:right="0"/>
              <w:jc w:val="both"/>
              <w:rPr/>
            </w:pPr>
            <w:r>
              <w:rPr>
                <w:rFonts w:cs="Times New Roman" w:ascii="Times New Roman" w:hAnsi="Times New Roman"/>
                <w:kern w:val="0"/>
                <w:sz w:val="20"/>
                <w:szCs w:val="20"/>
                <w:shd w:fill="auto" w:val="clear"/>
              </w:rPr>
              <w:t>Гражданин РФ, именуемый в дальнейшем «</w:t>
            </w:r>
            <w:r>
              <w:rPr>
                <w:rFonts w:eastAsia="NSimSun" w:cs="Times New Roman" w:ascii="Times New Roman" w:hAnsi="Times New Roman"/>
                <w:color w:val="000000"/>
                <w:kern w:val="0"/>
                <w:sz w:val="20"/>
                <w:szCs w:val="20"/>
                <w:shd w:fill="auto" w:val="clear"/>
                <w:lang w:val="ru-RU" w:eastAsia="zh-CN" w:bidi="hi-IN"/>
              </w:rPr>
              <w:t>Новый Арендатор</w:t>
            </w:r>
            <w:r>
              <w:rPr>
                <w:rFonts w:cs="Times New Roman" w:ascii="Times New Roman" w:hAnsi="Times New Roman"/>
                <w:kern w:val="0"/>
                <w:sz w:val="20"/>
                <w:szCs w:val="20"/>
                <w:shd w:fill="auto" w:val="clear"/>
              </w:rPr>
              <w:t>» с другой стороны, а совместно именуемые «Стороны», заключили настоящий договор о нижеследующем,</w:t>
            </w:r>
          </w:p>
        </w:tc>
      </w:tr>
      <w:tr>
        <w:trPr>
          <w:trHeight w:val="300"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1.  Предмет договора</w:t>
            </w:r>
          </w:p>
        </w:tc>
      </w:tr>
      <w:tr>
        <w:trPr>
          <w:trHeight w:val="1022" w:hRule="exact"/>
        </w:trPr>
        <w:tc>
          <w:tcPr>
            <w:tcW w:w="10433" w:type="dxa"/>
            <w:gridSpan w:val="7"/>
            <w:tcBorders/>
            <w:vAlign w:val="bottom"/>
          </w:tcPr>
          <w:p>
            <w:pPr>
              <w:pStyle w:val="Normal"/>
              <w:widowControl w:val="false"/>
              <w:suppressAutoHyphens w:val="true"/>
              <w:bidi w:val="0"/>
              <w:spacing w:before="0" w:after="0"/>
              <w:ind w:firstLine="227" w:right="0"/>
              <w:jc w:val="both"/>
              <w:rPr>
                <w:rFonts w:ascii="Times New Roman" w:hAnsi="Times New Roman" w:cs="Times New Roman"/>
                <w:sz w:val="20"/>
                <w:szCs w:val="20"/>
              </w:rPr>
            </w:pPr>
            <w:r>
              <w:rPr>
                <w:rFonts w:cs="Times New Roman" w:ascii="Times New Roman" w:hAnsi="Times New Roman"/>
                <w:sz w:val="20"/>
                <w:szCs w:val="20"/>
              </w:rPr>
              <w:t>1.1.  В соответствии с Протоколом № от по продаже имущества ,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433" w:type="dxa"/>
            <w:gridSpan w:val="7"/>
            <w:tcBorders/>
            <w:shd w:fill="FFFFFF" w:val="clear"/>
            <w:vAlign w:val="bottom"/>
          </w:tcPr>
          <w:p>
            <w:pPr>
              <w:pStyle w:val="Normal"/>
              <w:widowControl w:val="false"/>
              <w:suppressAutoHyphens w:val="true"/>
              <w:bidi w:val="0"/>
              <w:spacing w:before="0" w:after="0"/>
              <w:ind w:firstLine="227" w:right="0"/>
              <w:jc w:val="both"/>
              <w:rPr>
                <w:rFonts w:ascii="Times New Roman" w:hAnsi="Times New Roman" w:cs="Times New Roman"/>
                <w:sz w:val="20"/>
                <w:szCs w:val="20"/>
                <w:shd w:fill="auto" w:val="clear"/>
              </w:rPr>
            </w:pPr>
            <w:r>
              <w:rPr>
                <w:rFonts w:cs="Times New Roman" w:ascii="Times New Roman" w:hAnsi="Times New Roman"/>
                <w:sz w:val="20"/>
                <w:szCs w:val="20"/>
                <w:shd w:fill="auto" w:val="clear"/>
              </w:rPr>
              <w:t>ЛОТ №1 -</w:t>
            </w:r>
          </w:p>
        </w:tc>
      </w:tr>
      <w:tr>
        <w:trPr>
          <w:trHeight w:val="495"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1.2. Права и обязанности Арендатора переходят к Новому Арендатору в том объеме и на тех условиях, которые существовали к моменту перехода прав и обязанностей .</w:t>
            </w:r>
          </w:p>
        </w:tc>
      </w:tr>
      <w:tr>
        <w:trPr>
          <w:trHeight w:val="300"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shd w:fill="auto" w:val="clear"/>
              </w:rPr>
            </w:pPr>
            <w:r>
              <w:rPr>
                <w:rFonts w:cs="Times New Roman" w:ascii="Times New Roman" w:hAnsi="Times New Roman"/>
                <w:b/>
                <w:kern w:val="0"/>
                <w:sz w:val="20"/>
                <w:szCs w:val="20"/>
                <w:shd w:fill="auto" w:val="clear"/>
              </w:rPr>
              <w:t>2. Обязанности Сторон</w:t>
            </w:r>
          </w:p>
        </w:tc>
      </w:tr>
      <w:tr>
        <w:trPr>
          <w:trHeight w:val="30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2.1. </w:t>
            </w:r>
            <w:r>
              <w:rPr>
                <w:rFonts w:eastAsia="NSimSun" w:cs="Times New Roman" w:ascii="Times New Roman" w:hAnsi="Times New Roman"/>
                <w:color w:val="000000"/>
                <w:kern w:val="0"/>
                <w:sz w:val="20"/>
                <w:szCs w:val="20"/>
                <w:shd w:fill="auto" w:val="clear"/>
                <w:lang w:val="ru-RU" w:eastAsia="zh-CN" w:bidi="hi-IN"/>
              </w:rPr>
              <w:t>Стороны обязуются</w:t>
            </w:r>
            <w:r>
              <w:rPr>
                <w:rFonts w:cs="Times New Roman" w:ascii="Times New Roman" w:hAnsi="Times New Roman"/>
                <w:kern w:val="0"/>
                <w:sz w:val="20"/>
                <w:szCs w:val="20"/>
                <w:shd w:fill="auto" w:val="clear"/>
              </w:rPr>
              <w:t>:</w:t>
            </w:r>
          </w:p>
        </w:tc>
      </w:tr>
      <w:tr>
        <w:trPr>
          <w:trHeight w:val="381"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2.1.1. Новый Арендатор обязуется Оплатить полную стоимость имущества в соответствии с настоящим договором.</w:t>
            </w:r>
          </w:p>
        </w:tc>
      </w:tr>
      <w:tr>
        <w:trPr>
          <w:trHeight w:val="509"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2.1.2. Арендатор обязуется в течение 10 (десяти) рабочих дней со дня </w:t>
            </w:r>
            <w:r>
              <w:rPr>
                <w:rFonts w:eastAsia="NSimSun" w:cs="Times New Roman" w:ascii="Times New Roman" w:hAnsi="Times New Roman"/>
                <w:color w:val="000000"/>
                <w:kern w:val="0"/>
                <w:sz w:val="20"/>
                <w:szCs w:val="20"/>
                <w:shd w:fill="auto" w:val="clear"/>
                <w:lang w:val="ru-RU" w:eastAsia="zh-CN" w:bidi="hi-IN"/>
              </w:rPr>
              <w:t>надлежащей оплаты по настоящему Договору</w:t>
            </w:r>
            <w:r>
              <w:rPr>
                <w:rFonts w:cs="Times New Roman" w:ascii="Times New Roman" w:hAnsi="Times New Roman"/>
                <w:kern w:val="0"/>
                <w:sz w:val="20"/>
                <w:szCs w:val="20"/>
                <w:shd w:fill="auto" w:val="clear"/>
              </w:rPr>
              <w:t xml:space="preserve"> передать </w:t>
            </w:r>
            <w:r>
              <w:rPr>
                <w:rFonts w:eastAsia="NSimSun" w:cs="Times New Roman" w:ascii="Times New Roman" w:hAnsi="Times New Roman"/>
                <w:color w:val="000000"/>
                <w:kern w:val="0"/>
                <w:sz w:val="20"/>
                <w:szCs w:val="20"/>
                <w:shd w:fill="auto" w:val="clear"/>
                <w:lang w:val="ru-RU" w:eastAsia="zh-CN" w:bidi="hi-IN"/>
              </w:rPr>
              <w:t xml:space="preserve">Новому Арендатору документы, подтверждающие уступаемые права и обязанности, </w:t>
            </w:r>
            <w:r>
              <w:rPr>
                <w:rFonts w:cs="Times New Roman" w:ascii="Times New Roman" w:hAnsi="Times New Roman"/>
                <w:kern w:val="0"/>
                <w:sz w:val="20"/>
                <w:szCs w:val="20"/>
                <w:shd w:fill="auto" w:val="clear"/>
              </w:rPr>
              <w:t xml:space="preserve"> по акту приема-передачи.</w:t>
            </w:r>
          </w:p>
        </w:tc>
      </w:tr>
      <w:tr>
        <w:trPr>
          <w:trHeight w:val="504"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2.1.3. Новый Арендатор обязуется в течение 10 (десяти</w:t>
            </w:r>
            <w:r>
              <w:rPr>
                <w:rFonts w:cs="Times New Roman" w:ascii="Times New Roman" w:hAnsi="Times New Roman"/>
                <w:kern w:val="0"/>
                <w:sz w:val="20"/>
                <w:szCs w:val="20"/>
                <w:shd w:fill="auto" w:val="clear"/>
              </w:rPr>
              <w:t>)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522"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2.1.4. Стороны обязуются передать в Регистрирующий орган комплект документов, необходимый для осуществления регистрации настоящего </w:t>
            </w:r>
            <w:r>
              <w:rPr>
                <w:rFonts w:eastAsia="NSimSun" w:cs="Times New Roman" w:ascii="Times New Roman" w:hAnsi="Times New Roman"/>
                <w:color w:val="000000"/>
                <w:kern w:val="0"/>
                <w:sz w:val="20"/>
                <w:szCs w:val="20"/>
                <w:shd w:fill="auto" w:val="clear"/>
                <w:lang w:val="ru-RU" w:eastAsia="zh-CN" w:bidi="hi-IN"/>
              </w:rPr>
              <w:t>Договора.</w:t>
            </w:r>
          </w:p>
        </w:tc>
      </w:tr>
      <w:tr>
        <w:trPr>
          <w:trHeight w:val="534" w:hRule="exact"/>
        </w:trPr>
        <w:tc>
          <w:tcPr>
            <w:tcW w:w="10433" w:type="dxa"/>
            <w:gridSpan w:val="7"/>
            <w:tcBorders/>
            <w:vAlign w:val="bottom"/>
          </w:tcPr>
          <w:p>
            <w:pPr>
              <w:pStyle w:val="Normal"/>
              <w:widowControl w:val="false"/>
              <w:spacing w:lineRule="auto" w:line="240" w:before="0" w:after="0"/>
              <w:jc w:val="left"/>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2.1.5. Новый арендатор обязуется оплатить за счет собственных средств все государственные пошлины, связанные с исполнением настоящего Договора.</w:t>
            </w:r>
          </w:p>
        </w:tc>
      </w:tr>
      <w:tr>
        <w:trPr>
          <w:trHeight w:val="516"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2.1.6. Арендатор обязуется письменно уведомить Арендодателя о состоявшейся передаче прав и обязанностей по Договору аренды с момента подписания настоящего </w:t>
            </w:r>
            <w:r>
              <w:rPr>
                <w:rFonts w:eastAsia="NSimSun" w:cs="Times New Roman" w:ascii="Times New Roman" w:hAnsi="Times New Roman"/>
                <w:color w:val="000000"/>
                <w:kern w:val="0"/>
                <w:sz w:val="20"/>
                <w:szCs w:val="20"/>
                <w:shd w:fill="auto" w:val="clear"/>
                <w:lang w:val="ru-RU" w:eastAsia="zh-CN" w:bidi="hi-IN"/>
              </w:rPr>
              <w:t>Договора.</w:t>
            </w:r>
          </w:p>
        </w:tc>
      </w:tr>
      <w:tr>
        <w:trPr>
          <w:trHeight w:val="271"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3. Цена и порядок расчетов</w:t>
            </w:r>
          </w:p>
        </w:tc>
      </w:tr>
      <w:tr>
        <w:trPr>
          <w:trHeight w:val="361" w:hRule="exact"/>
        </w:trPr>
        <w:tc>
          <w:tcPr>
            <w:tcW w:w="10433" w:type="dxa"/>
            <w:gridSpan w:val="7"/>
            <w:tcBorders/>
            <w:vAlign w:val="bottom"/>
          </w:tcPr>
          <w:p>
            <w:pPr>
              <w:pStyle w:val="Normal"/>
              <w:widowControl w:val="false"/>
              <w:spacing w:lineRule="auto" w:line="240" w:before="0" w:after="0"/>
              <w:jc w:val="left"/>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3.1. Стоимость имущества составляет:</w:t>
            </w:r>
          </w:p>
        </w:tc>
      </w:tr>
      <w:tr>
        <w:trPr>
          <w:trHeight w:val="967" w:hRule="exact"/>
        </w:trPr>
        <w:tc>
          <w:tcPr>
            <w:tcW w:w="10433" w:type="dxa"/>
            <w:gridSpan w:val="7"/>
            <w:tcBorders/>
            <w:vAlign w:val="bottom"/>
          </w:tcPr>
          <w:p>
            <w:pPr>
              <w:pStyle w:val="Normal"/>
              <w:widowControl w:val="false"/>
              <w:spacing w:lineRule="auto" w:line="240" w:before="0" w:after="0"/>
              <w:jc w:val="both"/>
              <w:rPr>
                <w:rFonts w:ascii="Times New Roman" w:hAnsi="Times New Roman" w:cs="Times New Roman"/>
                <w:kern w:val="0"/>
                <w:sz w:val="20"/>
                <w:szCs w:val="20"/>
              </w:rPr>
            </w:pPr>
            <w:r>
              <w:rPr>
                <w:rFonts w:cs="Times New Roman"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 xml:space="preserve">3.2. </w:t>
            </w:r>
            <w:r>
              <w:rPr>
                <w:rFonts w:cs="Times New Roman" w:ascii="Times New Roman" w:hAnsi="Times New Roman"/>
                <w:kern w:val="0"/>
                <w:sz w:val="20"/>
                <w:szCs w:val="20"/>
                <w:shd w:fill="auto" w:val="clear"/>
              </w:rPr>
              <w:t xml:space="preserve">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w:t>
            </w:r>
            <w:r>
              <w:rPr>
                <w:rFonts w:eastAsia="NSimSun" w:cs="Times New Roman" w:ascii="Times New Roman" w:hAnsi="Times New Roman"/>
                <w:color w:val="000000"/>
                <w:kern w:val="0"/>
                <w:sz w:val="20"/>
                <w:szCs w:val="20"/>
                <w:shd w:fill="auto" w:val="clear"/>
                <w:lang w:val="ru-RU" w:eastAsia="zh-CN" w:bidi="hi-IN"/>
              </w:rPr>
              <w:t>Новый Арендатор</w:t>
            </w:r>
            <w:r>
              <w:rPr>
                <w:rFonts w:cs="Times New Roman" w:ascii="Times New Roman" w:hAnsi="Times New Roman"/>
                <w:kern w:val="0"/>
                <w:sz w:val="20"/>
                <w:szCs w:val="20"/>
                <w:shd w:fill="auto" w:val="clear"/>
              </w:rPr>
              <w:t>.</w:t>
            </w:r>
          </w:p>
        </w:tc>
      </w:tr>
      <w:tr>
        <w:trPr>
          <w:trHeight w:val="542" w:hRule="exact"/>
        </w:trPr>
        <w:tc>
          <w:tcPr>
            <w:tcW w:w="10433" w:type="dxa"/>
            <w:gridSpan w:val="7"/>
            <w:tcBorders/>
            <w:vAlign w:val="bottom"/>
          </w:tcPr>
          <w:p>
            <w:pPr>
              <w:pStyle w:val="Normal"/>
              <w:widowControl w:val="false"/>
              <w:spacing w:before="0" w:after="0"/>
              <w:jc w:val="both"/>
              <w:rPr>
                <w:rFonts w:ascii="Times New Roman" w:hAnsi="Times New Roman" w:cs="Times New Roman"/>
                <w:sz w:val="20"/>
                <w:szCs w:val="20"/>
              </w:rPr>
            </w:pPr>
            <w:r>
              <w:rPr>
                <w:rFonts w:cs="Times New Roman"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558" w:hRule="exact"/>
        </w:trPr>
        <w:tc>
          <w:tcPr>
            <w:tcW w:w="10433" w:type="dxa"/>
            <w:gridSpan w:val="7"/>
            <w:tcBorders/>
            <w:vAlign w:val="bottom"/>
          </w:tcPr>
          <w:p>
            <w:pPr>
              <w:pStyle w:val="Normal"/>
              <w:widowControl w:val="false"/>
              <w:spacing w:before="0" w:after="0"/>
              <w:jc w:val="both"/>
              <w:rPr/>
            </w:pPr>
            <w:r>
              <w:rPr>
                <w:rFonts w:eastAsia="Times New Roman" w:cs="Times New Roman" w:ascii="Times New Roman" w:hAnsi="Times New Roman"/>
                <w:sz w:val="20"/>
                <w:szCs w:val="20"/>
                <w:shd w:fill="auto" w:val="clear"/>
              </w:rPr>
              <w:t xml:space="preserve"> </w:t>
            </w:r>
            <w:r>
              <w:rPr>
                <w:rFonts w:cs="Times New Roman" w:ascii="Times New Roman" w:hAnsi="Times New Roman"/>
                <w:sz w:val="20"/>
                <w:szCs w:val="20"/>
                <w:shd w:fill="auto" w:val="clear"/>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Моментом надлежащей оплаты по настоящему договору считать момент перечисления банком </w:t>
            </w:r>
            <w:r>
              <w:rPr>
                <w:rFonts w:eastAsia="NSimSun" w:cs="Times New Roman" w:ascii="Times New Roman" w:hAnsi="Times New Roman"/>
                <w:color w:val="000000"/>
                <w:kern w:val="0"/>
                <w:sz w:val="20"/>
                <w:szCs w:val="20"/>
                <w:shd w:fill="auto" w:val="clear"/>
                <w:lang w:val="ru-RU" w:eastAsia="zh-CN" w:bidi="hi-IN"/>
              </w:rPr>
              <w:t>Нового Арендатора</w:t>
            </w:r>
            <w:r>
              <w:rPr>
                <w:rFonts w:cs="Times New Roman" w:ascii="Times New Roman" w:hAnsi="Times New Roman"/>
                <w:kern w:val="0"/>
                <w:sz w:val="20"/>
                <w:szCs w:val="20"/>
                <w:shd w:fill="auto" w:val="clear"/>
              </w:rPr>
              <w:t xml:space="preserve"> либо банком-корреспондентом предусмотренных настоящим договором сумм в банк для их дальнейшего зачисления на счет </w:t>
            </w:r>
            <w:r>
              <w:rPr>
                <w:rFonts w:eastAsia="NSimSun" w:cs="Times New Roman" w:ascii="Times New Roman" w:hAnsi="Times New Roman"/>
                <w:color w:val="000000"/>
                <w:kern w:val="0"/>
                <w:sz w:val="20"/>
                <w:szCs w:val="20"/>
                <w:shd w:fill="auto" w:val="clear"/>
                <w:lang w:val="ru-RU" w:eastAsia="zh-CN" w:bidi="hi-IN"/>
              </w:rPr>
              <w:t>Арендатора</w:t>
            </w:r>
            <w:r>
              <w:rPr>
                <w:rFonts w:cs="Times New Roman" w:ascii="Times New Roman" w:hAnsi="Times New Roman"/>
                <w:kern w:val="0"/>
                <w:sz w:val="20"/>
                <w:szCs w:val="20"/>
                <w:shd w:fill="auto" w:val="clear"/>
              </w:rPr>
              <w:t>.</w:t>
            </w:r>
          </w:p>
        </w:tc>
      </w:tr>
      <w:tr>
        <w:trPr>
          <w:trHeight w:val="285"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shd w:fill="auto" w:val="clear"/>
              </w:rPr>
            </w:pPr>
            <w:r>
              <w:rPr>
                <w:rFonts w:cs="Times New Roman" w:ascii="Times New Roman" w:hAnsi="Times New Roman"/>
                <w:b/>
                <w:kern w:val="0"/>
                <w:sz w:val="20"/>
                <w:szCs w:val="20"/>
                <w:shd w:fill="auto" w:val="clear"/>
              </w:rPr>
              <w:t>4. Возникновение права собственности</w:t>
            </w:r>
          </w:p>
        </w:tc>
      </w:tr>
      <w:tr>
        <w:trPr>
          <w:trHeight w:val="515"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shd w:fill="auto" w:val="clear"/>
              </w:rPr>
              <w:t xml:space="preserve">         </w:t>
            </w:r>
            <w:r>
              <w:rPr>
                <w:rFonts w:cs="Times New Roman" w:ascii="Times New Roman" w:hAnsi="Times New Roman"/>
                <w:kern w:val="0"/>
                <w:sz w:val="20"/>
                <w:szCs w:val="20"/>
                <w:shd w:fill="auto" w:val="clear"/>
              </w:rPr>
              <w:t xml:space="preserve">4.1. Право собственности на имущество переходит от </w:t>
            </w:r>
            <w:r>
              <w:rPr>
                <w:rFonts w:eastAsia="NSimSun" w:cs="Times New Roman" w:ascii="Times New Roman" w:hAnsi="Times New Roman"/>
                <w:color w:val="000000"/>
                <w:kern w:val="0"/>
                <w:sz w:val="20"/>
                <w:szCs w:val="20"/>
                <w:shd w:fill="auto" w:val="clear"/>
                <w:lang w:val="ru-RU" w:eastAsia="zh-CN" w:bidi="hi-IN"/>
              </w:rPr>
              <w:t>Арендатора</w:t>
            </w:r>
            <w:r>
              <w:rPr>
                <w:rFonts w:cs="Times New Roman" w:ascii="Times New Roman" w:hAnsi="Times New Roman"/>
                <w:kern w:val="0"/>
                <w:sz w:val="20"/>
                <w:szCs w:val="20"/>
                <w:shd w:fill="auto" w:val="clear"/>
              </w:rPr>
              <w:t xml:space="preserve"> к </w:t>
            </w:r>
            <w:r>
              <w:rPr>
                <w:rFonts w:eastAsia="NSimSun" w:cs="Times New Roman" w:ascii="Times New Roman" w:hAnsi="Times New Roman"/>
                <w:color w:val="000000"/>
                <w:kern w:val="0"/>
                <w:sz w:val="20"/>
                <w:szCs w:val="20"/>
                <w:shd w:fill="auto" w:val="clear"/>
                <w:lang w:val="ru-RU" w:eastAsia="zh-CN" w:bidi="hi-IN"/>
              </w:rPr>
              <w:t>Новому Арендатору</w:t>
            </w:r>
            <w:r>
              <w:rPr>
                <w:rFonts w:cs="Times New Roman" w:ascii="Times New Roman" w:hAnsi="Times New Roman"/>
                <w:kern w:val="0"/>
                <w:sz w:val="20"/>
                <w:szCs w:val="20"/>
                <w:shd w:fill="auto" w:val="clear"/>
              </w:rPr>
              <w:t xml:space="preserve"> в момент государственной регистрации права собственности.</w:t>
            </w:r>
          </w:p>
        </w:tc>
      </w:tr>
      <w:tr>
        <w:trPr>
          <w:trHeight w:val="218"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5. Ответственность Сторон</w:t>
            </w:r>
          </w:p>
        </w:tc>
      </w:tr>
      <w:tr>
        <w:trPr>
          <w:trHeight w:val="51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5.1.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5.2.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117"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48"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6. Порядок разрешения споров</w:t>
            </w:r>
          </w:p>
        </w:tc>
      </w:tr>
      <w:tr>
        <w:trPr>
          <w:trHeight w:val="54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6.1.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60"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7. Условия изменения и расторжения договора</w:t>
            </w:r>
          </w:p>
        </w:tc>
      </w:tr>
      <w:tr>
        <w:trPr>
          <w:trHeight w:val="53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7.1.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7.2.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99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7.3.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741"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16"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8. Заключительные положения</w:t>
            </w:r>
          </w:p>
        </w:tc>
      </w:tr>
      <w:tr>
        <w:trPr>
          <w:trHeight w:val="474"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8.1.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8.2. Сторонами договора рассмотрены все документы, подготовленные в связи с продажей имущества.</w:t>
            </w:r>
          </w:p>
        </w:tc>
      </w:tr>
      <w:tr>
        <w:trPr>
          <w:trHeight w:val="270"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8.3. Настоящий Договор составлен в 2-х экземплярах, имеющих одинаковую юридическую силу.</w:t>
            </w:r>
          </w:p>
        </w:tc>
      </w:tr>
      <w:tr>
        <w:trPr>
          <w:trHeight w:val="1008" w:hRule="exact"/>
        </w:trPr>
        <w:tc>
          <w:tcPr>
            <w:tcW w:w="10433" w:type="dxa"/>
            <w:gridSpan w:val="7"/>
            <w:tcBorders/>
            <w:vAlign w:val="bottom"/>
          </w:tcPr>
          <w:p>
            <w:pPr>
              <w:pStyle w:val="Normal"/>
              <w:widowControl w:val="false"/>
              <w:spacing w:lineRule="auto" w:line="240" w:before="0" w:after="0"/>
              <w:jc w:val="both"/>
              <w:rPr/>
            </w:pPr>
            <w:r>
              <w:rPr>
                <w:rFonts w:eastAsia="Times New Roman" w:cs="Times New Roman" w:ascii="Times New Roman" w:hAnsi="Times New Roman"/>
                <w:kern w:val="0"/>
                <w:sz w:val="20"/>
                <w:szCs w:val="20"/>
              </w:rPr>
              <w:t xml:space="preserve">       </w:t>
            </w:r>
            <w:r>
              <w:rPr>
                <w:rFonts w:cs="Times New Roman" w:ascii="Times New Roman" w:hAnsi="Times New Roman"/>
                <w:kern w:val="0"/>
                <w:sz w:val="20"/>
                <w:szCs w:val="20"/>
              </w:rPr>
              <w:t>8.4.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15" w:hRule="exact"/>
        </w:trPr>
        <w:tc>
          <w:tcPr>
            <w:tcW w:w="10433" w:type="dxa"/>
            <w:gridSpan w:val="7"/>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10. Реквизиты и подписи Сторон</w:t>
            </w:r>
          </w:p>
        </w:tc>
      </w:tr>
      <w:tr>
        <w:trPr>
          <w:trHeight w:val="408" w:hRule="exact"/>
        </w:trPr>
        <w:tc>
          <w:tcPr>
            <w:tcW w:w="5041" w:type="dxa"/>
            <w:tcBorders/>
            <w:vAlign w:val="bottom"/>
          </w:tcPr>
          <w:p>
            <w:pPr>
              <w:pStyle w:val="Normal"/>
              <w:widowControl w:val="false"/>
              <w:spacing w:lineRule="auto" w:line="240" w:before="0" w:after="0"/>
              <w:jc w:val="center"/>
              <w:rPr/>
            </w:pPr>
            <w:r>
              <w:rPr>
                <w:rFonts w:eastAsia="NSimSun" w:cs="Times New Roman" w:ascii="Times New Roman" w:hAnsi="Times New Roman"/>
                <w:b/>
                <w:color w:val="000000"/>
                <w:kern w:val="0"/>
                <w:sz w:val="20"/>
                <w:szCs w:val="20"/>
                <w:shd w:fill="auto" w:val="clear"/>
                <w:lang w:val="ru-RU" w:eastAsia="zh-CN" w:bidi="hi-IN"/>
              </w:rPr>
              <w:t>Арендатор</w:t>
            </w:r>
            <w:r>
              <w:rPr>
                <w:rFonts w:cs="Times New Roman" w:ascii="Times New Roman" w:hAnsi="Times New Roman"/>
                <w:b/>
                <w:kern w:val="0"/>
                <w:sz w:val="20"/>
                <w:szCs w:val="20"/>
                <w:shd w:fill="auto" w:val="clear"/>
              </w:rPr>
              <w:t>:</w:t>
            </w:r>
          </w:p>
        </w:tc>
        <w:tc>
          <w:tcPr>
            <w:tcW w:w="5392" w:type="dxa"/>
            <w:gridSpan w:val="6"/>
            <w:tcBorders/>
            <w:vAlign w:val="bottom"/>
          </w:tcPr>
          <w:p>
            <w:pPr>
              <w:pStyle w:val="Normal"/>
              <w:widowControl w:val="false"/>
              <w:spacing w:lineRule="auto" w:line="240" w:before="0" w:after="0"/>
              <w:jc w:val="center"/>
              <w:rPr/>
            </w:pPr>
            <w:r>
              <w:rPr>
                <w:rFonts w:eastAsia="NSimSun" w:cs="Times New Roman" w:ascii="Times New Roman" w:hAnsi="Times New Roman"/>
                <w:b/>
                <w:color w:val="000000"/>
                <w:kern w:val="0"/>
                <w:sz w:val="20"/>
                <w:szCs w:val="20"/>
                <w:shd w:fill="auto" w:val="clear"/>
                <w:lang w:val="ru-RU" w:eastAsia="zh-CN" w:bidi="hi-IN"/>
              </w:rPr>
              <w:t>Новый Арендатор</w:t>
            </w:r>
            <w:r>
              <w:rPr>
                <w:rFonts w:cs="Times New Roman" w:ascii="Times New Roman" w:hAnsi="Times New Roman"/>
                <w:b/>
                <w:kern w:val="0"/>
                <w:sz w:val="20"/>
                <w:szCs w:val="20"/>
                <w:shd w:fill="auto" w:val="clear"/>
              </w:rPr>
              <w:t>:</w:t>
            </w:r>
          </w:p>
        </w:tc>
      </w:tr>
      <w:tr>
        <w:trPr>
          <w:trHeight w:val="227" w:hRule="exact"/>
        </w:trPr>
        <w:tc>
          <w:tcPr>
            <w:tcW w:w="5041" w:type="dxa"/>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Гражданин РФ</w:t>
            </w:r>
          </w:p>
        </w:tc>
        <w:tc>
          <w:tcPr>
            <w:tcW w:w="5392" w:type="dxa"/>
            <w:gridSpan w:val="6"/>
            <w:tcBorders/>
            <w:vAlign w:val="bottom"/>
          </w:tcPr>
          <w:p>
            <w:pPr>
              <w:pStyle w:val="Normal"/>
              <w:widowControl w:val="false"/>
              <w:spacing w:lineRule="auto" w:line="240" w:before="0" w:after="0"/>
              <w:jc w:val="center"/>
              <w:rPr>
                <w:rFonts w:ascii="Times New Roman" w:hAnsi="Times New Roman" w:cs="Times New Roman"/>
                <w:b/>
                <w:kern w:val="0"/>
                <w:sz w:val="20"/>
                <w:szCs w:val="20"/>
              </w:rPr>
            </w:pPr>
            <w:r>
              <w:rPr>
                <w:rFonts w:cs="Times New Roman" w:ascii="Times New Roman" w:hAnsi="Times New Roman"/>
                <w:b/>
                <w:kern w:val="0"/>
                <w:sz w:val="20"/>
                <w:szCs w:val="20"/>
              </w:rPr>
              <w:t>Гражданин РФ</w:t>
            </w:r>
          </w:p>
        </w:tc>
      </w:tr>
      <w:tr>
        <w:trPr>
          <w:trHeight w:val="871" w:hRule="exact"/>
        </w:trPr>
        <w:tc>
          <w:tcPr>
            <w:tcW w:w="5041" w:type="dxa"/>
            <w:tcBorders/>
            <w:vAlign w:val="bottom"/>
          </w:tcPr>
          <w:p>
            <w:pPr>
              <w:pStyle w:val="Normal"/>
              <w:widowControl w:val="false"/>
              <w:snapToGrid w:val="false"/>
              <w:spacing w:lineRule="auto" w:line="240" w:before="0" w:after="0"/>
              <w:jc w:val="both"/>
              <w:rPr>
                <w:rFonts w:ascii="Times New Roman" w:hAnsi="Times New Roman" w:cs="Times New Roman"/>
                <w:b/>
                <w:sz w:val="20"/>
                <w:szCs w:val="20"/>
              </w:rPr>
            </w:pPr>
            <w:r>
              <w:rPr>
                <w:rFonts w:cs="Times New Roman" w:ascii="Times New Roman" w:hAnsi="Times New Roman"/>
                <w:b/>
                <w:sz w:val="20"/>
                <w:szCs w:val="20"/>
              </w:rPr>
            </w:r>
          </w:p>
        </w:tc>
        <w:tc>
          <w:tcPr>
            <w:tcW w:w="5392" w:type="dxa"/>
            <w:gridSpan w:val="6"/>
            <w:vMerge w:val="restart"/>
            <w:tcBorders/>
          </w:tcPr>
          <w:p>
            <w:pPr>
              <w:pStyle w:val="Normal"/>
              <w:widowControl w:val="false"/>
              <w:snapToGrid w:val="false"/>
              <w:spacing w:lineRule="auto" w:line="240" w:before="0" w:after="0"/>
              <w:ind w:left="340" w:right="0"/>
              <w:jc w:val="both"/>
              <w:rPr>
                <w:rFonts w:ascii="Times New Roman" w:hAnsi="Times New Roman" w:cs="Times New Roman"/>
                <w:b/>
                <w:sz w:val="20"/>
                <w:szCs w:val="20"/>
              </w:rPr>
            </w:pPr>
            <w:r>
              <w:rPr>
                <w:rFonts w:cs="Times New Roman" w:ascii="Times New Roman" w:hAnsi="Times New Roman"/>
                <w:b/>
                <w:sz w:val="20"/>
                <w:szCs w:val="20"/>
              </w:rPr>
            </w:r>
          </w:p>
        </w:tc>
      </w:tr>
      <w:tr>
        <w:trPr>
          <w:trHeight w:val="300" w:hRule="exact"/>
        </w:trPr>
        <w:tc>
          <w:tcPr>
            <w:tcW w:w="5041" w:type="dxa"/>
            <w:tcBorders/>
            <w:vAlign w:val="bottom"/>
          </w:tcPr>
          <w:p>
            <w:pPr>
              <w:pStyle w:val="Normal"/>
              <w:widowControl w:val="false"/>
              <w:spacing w:lineRule="auto" w:line="240" w:before="0" w:after="0"/>
              <w:jc w:val="both"/>
              <w:rPr>
                <w:rFonts w:ascii="Times New Roman" w:hAnsi="Times New Roman" w:cs="Times New Roman"/>
                <w:kern w:val="0"/>
                <w:sz w:val="20"/>
                <w:szCs w:val="20"/>
              </w:rPr>
            </w:pPr>
            <w:r>
              <w:rPr>
                <w:rFonts w:cs="Times New Roman" w:ascii="Times New Roman" w:hAnsi="Times New Roman"/>
                <w:kern w:val="0"/>
                <w:sz w:val="20"/>
                <w:szCs w:val="20"/>
              </w:rPr>
              <w:t>Реквизиты</w:t>
            </w:r>
          </w:p>
        </w:tc>
        <w:tc>
          <w:tcPr>
            <w:tcW w:w="5392" w:type="dxa"/>
            <w:gridSpan w:val="6"/>
            <w:vMerge w:val="continue"/>
            <w:tcBorders/>
          </w:tcPr>
          <w:p>
            <w:pPr>
              <w:pStyle w:val="Normal"/>
              <w:snapToGrid w:val="false"/>
              <w:rPr/>
            </w:pPr>
            <w:r>
              <w:rPr/>
            </w:r>
          </w:p>
        </w:tc>
      </w:tr>
      <w:tr>
        <w:trPr>
          <w:trHeight w:val="1000" w:hRule="exact"/>
        </w:trPr>
        <w:tc>
          <w:tcPr>
            <w:tcW w:w="5041" w:type="dxa"/>
            <w:tcBorders/>
            <w:vAlign w:val="bottom"/>
          </w:tcPr>
          <w:p>
            <w:pPr>
              <w:pStyle w:val="Normal"/>
              <w:widowControl w:val="false"/>
              <w:snapToGrid w:val="false"/>
              <w:spacing w:before="0" w:after="0"/>
              <w:jc w:val="both"/>
              <w:rPr>
                <w:rFonts w:ascii="Times New Roman" w:hAnsi="Times New Roman" w:cs="Times New Roman"/>
                <w:sz w:val="20"/>
                <w:szCs w:val="20"/>
              </w:rPr>
            </w:pPr>
            <w:r>
              <w:rPr>
                <w:rFonts w:cs="Times New Roman" w:ascii="Times New Roman" w:hAnsi="Times New Roman"/>
                <w:sz w:val="20"/>
                <w:szCs w:val="20"/>
              </w:rPr>
            </w:r>
          </w:p>
        </w:tc>
        <w:tc>
          <w:tcPr>
            <w:tcW w:w="5392" w:type="dxa"/>
            <w:gridSpan w:val="6"/>
            <w:vMerge w:val="continue"/>
            <w:tcBorders/>
          </w:tcPr>
          <w:p>
            <w:pPr>
              <w:pStyle w:val="Normal"/>
              <w:snapToGrid w:val="false"/>
              <w:rPr>
                <w:rFonts w:ascii="Times New Roman" w:hAnsi="Times New Roman" w:cs="Times New Roman"/>
                <w:sz w:val="20"/>
                <w:szCs w:val="20"/>
              </w:rPr>
            </w:pPr>
            <w:r>
              <w:rPr>
                <w:rFonts w:cs="Times New Roman" w:ascii="Times New Roman" w:hAnsi="Times New Roman"/>
                <w:sz w:val="20"/>
                <w:szCs w:val="20"/>
              </w:rPr>
            </w:r>
          </w:p>
        </w:tc>
      </w:tr>
      <w:tr>
        <w:trPr>
          <w:trHeight w:val="300" w:hRule="exact"/>
        </w:trPr>
        <w:tc>
          <w:tcPr>
            <w:tcW w:w="5041" w:type="dxa"/>
            <w:tcBorders/>
            <w:vAlign w:val="bottom"/>
          </w:tcPr>
          <w:p>
            <w:pPr>
              <w:pStyle w:val="Normal"/>
              <w:widowControl w:val="false"/>
              <w:spacing w:lineRule="auto" w:line="240" w:before="0" w:after="0"/>
              <w:jc w:val="both"/>
              <w:rPr>
                <w:rFonts w:ascii="Times New Roman" w:hAnsi="Times New Roman" w:cs="Times New Roman"/>
                <w:b/>
                <w:kern w:val="0"/>
                <w:sz w:val="20"/>
                <w:szCs w:val="20"/>
              </w:rPr>
            </w:pPr>
            <w:r>
              <w:rPr>
                <w:rFonts w:cs="Times New Roman" w:ascii="Times New Roman" w:hAnsi="Times New Roman"/>
                <w:b/>
                <w:kern w:val="0"/>
                <w:sz w:val="20"/>
                <w:szCs w:val="20"/>
              </w:rPr>
              <w:t>Финансовый управляющий</w:t>
            </w:r>
          </w:p>
        </w:tc>
        <w:tc>
          <w:tcPr>
            <w:tcW w:w="671"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37"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49"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47"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52"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36"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r>
      <w:tr>
        <w:trPr>
          <w:trHeight w:val="300" w:hRule="exact"/>
        </w:trPr>
        <w:tc>
          <w:tcPr>
            <w:tcW w:w="5041" w:type="dxa"/>
            <w:tcBorders/>
            <w:vAlign w:val="bottom"/>
          </w:tcPr>
          <w:p>
            <w:pPr>
              <w:pStyle w:val="Normal"/>
              <w:widowControl w:val="false"/>
              <w:snapToGrid w:val="false"/>
              <w:spacing w:lineRule="auto" w:line="240" w:before="0" w:after="0"/>
              <w:jc w:val="both"/>
              <w:rPr>
                <w:rFonts w:ascii="Times New Roman" w:hAnsi="Times New Roman" w:cs="Times New Roman"/>
                <w:b/>
                <w:sz w:val="20"/>
                <w:szCs w:val="20"/>
              </w:rPr>
            </w:pPr>
            <w:r>
              <w:rPr>
                <w:rFonts w:cs="Times New Roman" w:ascii="Times New Roman" w:hAnsi="Times New Roman"/>
                <w:b/>
                <w:sz w:val="20"/>
                <w:szCs w:val="20"/>
              </w:rPr>
            </w:r>
          </w:p>
        </w:tc>
        <w:tc>
          <w:tcPr>
            <w:tcW w:w="671"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b/>
                <w:sz w:val="16"/>
                <w:szCs w:val="20"/>
              </w:rPr>
            </w:pPr>
            <w:r>
              <w:rPr>
                <w:rFonts w:cs="Times New Roman" w:ascii="Times New Roman" w:hAnsi="Times New Roman"/>
                <w:b/>
                <w:sz w:val="16"/>
                <w:szCs w:val="20"/>
              </w:rPr>
            </w:r>
          </w:p>
        </w:tc>
        <w:tc>
          <w:tcPr>
            <w:tcW w:w="937"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b/>
                <w:sz w:val="16"/>
                <w:szCs w:val="20"/>
              </w:rPr>
            </w:pPr>
            <w:r>
              <w:rPr>
                <w:rFonts w:cs="Times New Roman" w:ascii="Times New Roman" w:hAnsi="Times New Roman"/>
                <w:b/>
                <w:sz w:val="16"/>
                <w:szCs w:val="20"/>
              </w:rPr>
            </w:r>
          </w:p>
        </w:tc>
        <w:tc>
          <w:tcPr>
            <w:tcW w:w="949"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47"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52"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c>
          <w:tcPr>
            <w:tcW w:w="936" w:type="dxa"/>
            <w:tcBorders/>
            <w:vAlign w:val="bottom"/>
          </w:tcPr>
          <w:p>
            <w:pPr>
              <w:pStyle w:val="Normal"/>
              <w:widowControl w:val="false"/>
              <w:snapToGrid w:val="false"/>
              <w:spacing w:lineRule="auto" w:line="240" w:before="0" w:after="0"/>
              <w:ind w:left="340" w:right="0"/>
              <w:jc w:val="both"/>
              <w:rPr>
                <w:rFonts w:ascii="Times New Roman" w:hAnsi="Times New Roman" w:cs="Times New Roman"/>
                <w:sz w:val="16"/>
                <w:szCs w:val="20"/>
              </w:rPr>
            </w:pPr>
            <w:r>
              <w:rPr>
                <w:rFonts w:cs="Times New Roman" w:ascii="Times New Roman" w:hAnsi="Times New Roman"/>
                <w:sz w:val="16"/>
                <w:szCs w:val="20"/>
              </w:rPr>
            </w:r>
          </w:p>
        </w:tc>
      </w:tr>
      <w:tr>
        <w:trPr>
          <w:trHeight w:val="288" w:hRule="exact"/>
        </w:trPr>
        <w:tc>
          <w:tcPr>
            <w:tcW w:w="5041" w:type="dxa"/>
            <w:tcBorders/>
            <w:vAlign w:val="bottom"/>
          </w:tcPr>
          <w:p>
            <w:pPr>
              <w:pStyle w:val="Normal"/>
              <w:widowControl w:val="false"/>
              <w:snapToGrid w:val="false"/>
              <w:spacing w:lineRule="auto" w:line="240" w:before="0" w:after="0"/>
              <w:jc w:val="both"/>
              <w:rPr>
                <w:rFonts w:ascii="Times New Roman" w:hAnsi="Times New Roman" w:cs="Times New Roman"/>
                <w:b/>
                <w:sz w:val="20"/>
                <w:szCs w:val="20"/>
              </w:rPr>
            </w:pPr>
            <w:r>
              <w:rPr>
                <w:rFonts w:cs="Times New Roman" w:ascii="Times New Roman" w:hAnsi="Times New Roman"/>
                <w:b/>
                <w:sz w:val="20"/>
                <w:szCs w:val="20"/>
              </w:rPr>
            </w:r>
          </w:p>
        </w:tc>
        <w:tc>
          <w:tcPr>
            <w:tcW w:w="5392" w:type="dxa"/>
            <w:gridSpan w:val="6"/>
            <w:tcBorders/>
            <w:vAlign w:val="bottom"/>
          </w:tcPr>
          <w:p>
            <w:pPr>
              <w:pStyle w:val="Normal"/>
              <w:widowControl w:val="false"/>
              <w:snapToGrid w:val="false"/>
              <w:spacing w:lineRule="auto" w:line="240" w:before="0" w:after="0"/>
              <w:ind w:left="340" w:right="0"/>
              <w:jc w:val="both"/>
              <w:rPr>
                <w:rFonts w:ascii="Times New Roman" w:hAnsi="Times New Roman" w:cs="Times New Roman"/>
                <w:b/>
                <w:kern w:val="0"/>
                <w:sz w:val="20"/>
                <w:szCs w:val="20"/>
              </w:rPr>
            </w:pPr>
            <w:r>
              <w:rPr>
                <w:rFonts w:cs="Times New Roman" w:ascii="Times New Roman" w:hAnsi="Times New Roman"/>
                <w:b/>
                <w:kern w:val="0"/>
                <w:sz w:val="20"/>
                <w:szCs w:val="20"/>
              </w:rPr>
            </w:r>
          </w:p>
        </w:tc>
      </w:tr>
    </w:tbl>
    <w:p>
      <w:pPr>
        <w:pStyle w:val="Normal"/>
        <w:rPr/>
      </w:pPr>
      <w:r>
        <w:rPr/>
      </w:r>
    </w:p>
    <w:sectPr>
      <w:type w:val="nextPage"/>
      <w:pgSz w:w="11906" w:h="16838"/>
      <w:pgMar w:left="567"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swiss"/>
    <w:pitch w:val="variable"/>
  </w:font>
  <w:font w:name="Liberation Sans">
    <w:altName w:val="Arial"/>
    <w:charset w:val="cc"/>
    <w:family w:val="swiss"/>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0" w:after="0"/>
      <w:jc w:val="left"/>
    </w:pPr>
    <w:rPr>
      <w:rFonts w:ascii="Calibri" w:hAnsi="Calibri" w:eastAsia="NSimSun" w:cs="Lucida Sans"/>
      <w:color w:val="auto"/>
      <w:kern w:val="0"/>
      <w:sz w:val="22"/>
      <w:szCs w:val="24"/>
      <w:lang w:val="ru-RU" w:eastAsia="zh-CN" w:bidi="hi-IN"/>
    </w:rPr>
  </w:style>
  <w:style w:type="paragraph" w:styleId="Heading1">
    <w:name w:val="heading 1"/>
    <w:basedOn w:val="Normal"/>
    <w:next w:val="BodyText"/>
    <w:qFormat/>
    <w:pPr>
      <w:keepNext w:val="true"/>
      <w:keepLines/>
      <w:numPr>
        <w:ilvl w:val="0"/>
        <w:numId w:val="1"/>
      </w:numPr>
      <w:spacing w:before="480" w:after="200"/>
      <w:ind w:hanging="0" w:left="0" w:right="0"/>
      <w:outlineLvl w:val="0"/>
    </w:pPr>
    <w:rPr>
      <w:rFonts w:ascii="Arial" w:hAnsi="Arial" w:eastAsia="Arial" w:cs="Arial"/>
      <w:sz w:val="40"/>
      <w:szCs w:val="40"/>
    </w:rPr>
  </w:style>
  <w:style w:type="paragraph" w:styleId="Heading2">
    <w:name w:val="heading 2"/>
    <w:basedOn w:val="Normal"/>
    <w:next w:val="BodyText"/>
    <w:qFormat/>
    <w:pPr>
      <w:keepNext w:val="true"/>
      <w:keepLines/>
      <w:numPr>
        <w:ilvl w:val="0"/>
        <w:numId w:val="0"/>
      </w:numPr>
      <w:spacing w:before="360" w:after="200"/>
      <w:ind w:hanging="0" w:left="0" w:right="0"/>
      <w:outlineLvl w:val="1"/>
    </w:pPr>
    <w:rPr>
      <w:rFonts w:ascii="Arial" w:hAnsi="Arial" w:eastAsia="Arial" w:cs="Arial"/>
      <w:sz w:val="34"/>
    </w:rPr>
  </w:style>
  <w:style w:type="paragraph" w:styleId="Heading3">
    <w:name w:val="heading 3"/>
    <w:basedOn w:val="Normal"/>
    <w:next w:val="BodyText"/>
    <w:qFormat/>
    <w:pPr>
      <w:keepNext w:val="true"/>
      <w:keepLines/>
      <w:numPr>
        <w:ilvl w:val="0"/>
        <w:numId w:val="0"/>
      </w:numPr>
      <w:spacing w:before="320" w:after="200"/>
      <w:ind w:hanging="0" w:left="0" w:right="0"/>
      <w:outlineLvl w:val="2"/>
    </w:pPr>
    <w:rPr>
      <w:rFonts w:ascii="Arial" w:hAnsi="Arial" w:eastAsia="Arial" w:cs="Arial"/>
      <w:sz w:val="30"/>
      <w:szCs w:val="30"/>
    </w:rPr>
  </w:style>
  <w:style w:type="paragraph" w:styleId="Heading4">
    <w:name w:val="heading 4"/>
    <w:basedOn w:val="Normal"/>
    <w:next w:val="BodyText"/>
    <w:qFormat/>
    <w:pPr>
      <w:keepNext w:val="true"/>
      <w:keepLines/>
      <w:numPr>
        <w:ilvl w:val="0"/>
        <w:numId w:val="0"/>
      </w:numPr>
      <w:spacing w:before="320" w:after="200"/>
      <w:ind w:hanging="0" w:left="0" w:right="0"/>
      <w:outlineLvl w:val="3"/>
    </w:pPr>
    <w:rPr>
      <w:rFonts w:ascii="Arial" w:hAnsi="Arial" w:eastAsia="Arial" w:cs="Arial"/>
      <w:b/>
      <w:bCs/>
      <w:sz w:val="26"/>
      <w:szCs w:val="26"/>
    </w:rPr>
  </w:style>
  <w:style w:type="paragraph" w:styleId="Heading5">
    <w:name w:val="heading 5"/>
    <w:basedOn w:val="Normal"/>
    <w:next w:val="BodyText"/>
    <w:qFormat/>
    <w:pPr>
      <w:keepNext w:val="true"/>
      <w:keepLines/>
      <w:numPr>
        <w:ilvl w:val="0"/>
        <w:numId w:val="0"/>
      </w:numPr>
      <w:spacing w:before="320" w:after="200"/>
      <w:ind w:hanging="0" w:left="0" w:right="0"/>
      <w:outlineLvl w:val="4"/>
    </w:pPr>
    <w:rPr>
      <w:rFonts w:ascii="Arial" w:hAnsi="Arial" w:eastAsia="Arial" w:cs="Arial"/>
      <w:b/>
      <w:bCs/>
      <w:sz w:val="24"/>
      <w:szCs w:val="24"/>
    </w:rPr>
  </w:style>
  <w:style w:type="paragraph" w:styleId="Heading6">
    <w:name w:val="heading 6"/>
    <w:basedOn w:val="Normal"/>
    <w:next w:val="BodyText"/>
    <w:qFormat/>
    <w:pPr>
      <w:keepNext w:val="true"/>
      <w:keepLines/>
      <w:numPr>
        <w:ilvl w:val="0"/>
        <w:numId w:val="0"/>
      </w:numPr>
      <w:spacing w:before="320" w:after="200"/>
      <w:ind w:hanging="0" w:left="0" w:right="0"/>
      <w:outlineLvl w:val="5"/>
    </w:pPr>
    <w:rPr>
      <w:rFonts w:ascii="Arial" w:hAnsi="Arial" w:eastAsia="Arial" w:cs="Arial"/>
      <w:b/>
      <w:bCs/>
      <w:sz w:val="22"/>
      <w:szCs w:val="22"/>
    </w:rPr>
  </w:style>
  <w:style w:type="paragraph" w:styleId="Heading7">
    <w:name w:val="heading 7"/>
    <w:basedOn w:val="Normal"/>
    <w:next w:val="BodyText"/>
    <w:qFormat/>
    <w:pPr>
      <w:keepNext w:val="true"/>
      <w:keepLines/>
      <w:numPr>
        <w:ilvl w:val="0"/>
        <w:numId w:val="0"/>
      </w:numPr>
      <w:spacing w:before="320" w:after="200"/>
      <w:ind w:hanging="0" w:left="0" w:right="0"/>
      <w:outlineLvl w:val="6"/>
    </w:pPr>
    <w:rPr>
      <w:rFonts w:ascii="Arial" w:hAnsi="Arial" w:eastAsia="Arial" w:cs="Arial"/>
      <w:b/>
      <w:bCs/>
      <w:i/>
      <w:iCs/>
      <w:sz w:val="22"/>
      <w:szCs w:val="22"/>
    </w:rPr>
  </w:style>
  <w:style w:type="paragraph" w:styleId="Heading8">
    <w:name w:val="heading 8"/>
    <w:basedOn w:val="Normal"/>
    <w:next w:val="BodyText"/>
    <w:qFormat/>
    <w:pPr>
      <w:keepNext w:val="true"/>
      <w:keepLines/>
      <w:numPr>
        <w:ilvl w:val="0"/>
        <w:numId w:val="0"/>
      </w:numPr>
      <w:spacing w:before="320" w:after="200"/>
      <w:ind w:hanging="0" w:left="0" w:right="0"/>
      <w:outlineLvl w:val="7"/>
    </w:pPr>
    <w:rPr>
      <w:rFonts w:ascii="Arial" w:hAnsi="Arial" w:eastAsia="Arial" w:cs="Arial"/>
      <w:i/>
      <w:iCs/>
      <w:sz w:val="22"/>
      <w:szCs w:val="22"/>
    </w:rPr>
  </w:style>
  <w:style w:type="paragraph" w:styleId="Heading9">
    <w:name w:val="heading 9"/>
    <w:basedOn w:val="Normal"/>
    <w:next w:val="BodyText"/>
    <w:qFormat/>
    <w:pPr>
      <w:keepNext w:val="true"/>
      <w:keepLines/>
      <w:numPr>
        <w:ilvl w:val="0"/>
        <w:numId w:val="0"/>
      </w:numPr>
      <w:spacing w:before="320" w:after="200"/>
      <w:ind w:hanging="0" w:left="0" w:right="0"/>
      <w:outlineLvl w:val="8"/>
    </w:pPr>
    <w:rPr>
      <w:rFonts w:ascii="Arial" w:hAnsi="Arial" w:eastAsia="Arial" w:cs="Arial"/>
      <w:i/>
      <w:iCs/>
      <w:sz w:val="21"/>
      <w:szCs w:val="21"/>
    </w:rPr>
  </w:style>
  <w:style w:type="character" w:styleId="Heading1Char">
    <w:name w:val="Heading 1 Char"/>
    <w:qFormat/>
    <w:rPr>
      <w:rFonts w:ascii="Arial" w:hAnsi="Arial" w:eastAsia="Arial" w:cs="Arial"/>
      <w:sz w:val="40"/>
      <w:szCs w:val="40"/>
    </w:rPr>
  </w:style>
  <w:style w:type="character" w:styleId="Heading2Char">
    <w:name w:val="Heading 2 Char"/>
    <w:qFormat/>
    <w:rPr>
      <w:rFonts w:ascii="Arial" w:hAnsi="Arial" w:eastAsia="Arial" w:cs="Arial"/>
      <w:sz w:val="34"/>
    </w:rPr>
  </w:style>
  <w:style w:type="character" w:styleId="Heading3Char">
    <w:name w:val="Heading 3 Char"/>
    <w:qFormat/>
    <w:rPr>
      <w:rFonts w:ascii="Arial" w:hAnsi="Arial" w:eastAsia="Arial" w:cs="Arial"/>
      <w:sz w:val="30"/>
      <w:szCs w:val="30"/>
    </w:rPr>
  </w:style>
  <w:style w:type="character" w:styleId="Heading4Char">
    <w:name w:val="Heading 4 Char"/>
    <w:qFormat/>
    <w:rPr>
      <w:rFonts w:ascii="Arial" w:hAnsi="Arial" w:eastAsia="Arial" w:cs="Arial"/>
      <w:b/>
      <w:bCs/>
      <w:sz w:val="26"/>
      <w:szCs w:val="26"/>
    </w:rPr>
  </w:style>
  <w:style w:type="character" w:styleId="Heading5Char">
    <w:name w:val="Heading 5 Char"/>
    <w:qFormat/>
    <w:rPr>
      <w:rFonts w:ascii="Arial" w:hAnsi="Arial" w:eastAsia="Arial" w:cs="Arial"/>
      <w:b/>
      <w:bCs/>
      <w:sz w:val="24"/>
      <w:szCs w:val="24"/>
    </w:rPr>
  </w:style>
  <w:style w:type="character" w:styleId="Heading6Char">
    <w:name w:val="Heading 6 Char"/>
    <w:qFormat/>
    <w:rPr>
      <w:rFonts w:ascii="Arial" w:hAnsi="Arial" w:eastAsia="Arial" w:cs="Arial"/>
      <w:b/>
      <w:bCs/>
      <w:sz w:val="22"/>
      <w:szCs w:val="22"/>
    </w:rPr>
  </w:style>
  <w:style w:type="character" w:styleId="Heading7Char">
    <w:name w:val="Heading 7 Char"/>
    <w:qFormat/>
    <w:rPr>
      <w:rFonts w:ascii="Arial" w:hAnsi="Arial" w:eastAsia="Arial" w:cs="Arial"/>
      <w:b/>
      <w:bCs/>
      <w:i/>
      <w:iCs/>
      <w:sz w:val="22"/>
      <w:szCs w:val="22"/>
    </w:rPr>
  </w:style>
  <w:style w:type="character" w:styleId="Heading8Char">
    <w:name w:val="Heading 8 Char"/>
    <w:qFormat/>
    <w:rPr>
      <w:rFonts w:ascii="Arial" w:hAnsi="Arial" w:eastAsia="Arial" w:cs="Arial"/>
      <w:i/>
      <w:iCs/>
      <w:sz w:val="22"/>
      <w:szCs w:val="22"/>
    </w:rPr>
  </w:style>
  <w:style w:type="character" w:styleId="Heading9Char">
    <w:name w:val="Heading 9 Char"/>
    <w:qFormat/>
    <w:rPr>
      <w:rFonts w:ascii="Arial" w:hAnsi="Arial" w:eastAsia="Arial" w:cs="Arial"/>
      <w:i/>
      <w:iCs/>
      <w:sz w:val="21"/>
      <w:szCs w:val="21"/>
    </w:rPr>
  </w:style>
  <w:style w:type="character" w:styleId="TitleChar">
    <w:name w:val="Title Char"/>
    <w:qFormat/>
    <w:rPr>
      <w:sz w:val="48"/>
      <w:szCs w:val="48"/>
    </w:rPr>
  </w:style>
  <w:style w:type="character" w:styleId="SubtitleChar">
    <w:name w:val="Subtitle Char"/>
    <w:qFormat/>
    <w:rPr>
      <w:sz w:val="24"/>
      <w:szCs w:val="24"/>
    </w:rPr>
  </w:style>
  <w:style w:type="character" w:styleId="QuoteChar">
    <w:name w:val="Quote Char"/>
    <w:qFormat/>
    <w:rPr>
      <w:i/>
    </w:rPr>
  </w:style>
  <w:style w:type="character" w:styleId="IntenseQuoteChar">
    <w:name w:val="Intense Quote Char"/>
    <w:qFormat/>
    <w:rPr>
      <w:i/>
    </w:rPr>
  </w:style>
  <w:style w:type="character" w:styleId="HeaderChar">
    <w:name w:val="Header Char"/>
    <w:qFormat/>
    <w:rPr/>
  </w:style>
  <w:style w:type="character" w:styleId="FooterChar">
    <w:name w:val="Footer Char"/>
    <w:qFormat/>
    <w:rPr/>
  </w:style>
  <w:style w:type="character" w:styleId="CaptionChar">
    <w:name w:val="Caption Char"/>
    <w:qFormat/>
    <w:rPr/>
  </w:style>
  <w:style w:type="character" w:styleId="Hyperlink">
    <w:name w:val="Hyperlink"/>
    <w:rPr>
      <w:color w:val="0000FF"/>
      <w:u w:val="single"/>
    </w:rPr>
  </w:style>
  <w:style w:type="character" w:styleId="FootnoteTextChar">
    <w:name w:val="Footnote Text Char"/>
    <w:qFormat/>
    <w:rPr>
      <w:sz w:val="18"/>
    </w:rPr>
  </w:style>
  <w:style w:type="character" w:styleId="Style5">
    <w:name w:val="Символ сноски"/>
    <w:qFormat/>
    <w:rPr>
      <w:vertAlign w:val="superscript"/>
    </w:rPr>
  </w:style>
  <w:style w:type="character" w:styleId="FootnoteReference">
    <w:name w:val="footnote reference"/>
    <w:qFormat/>
    <w:rPr>
      <w:vertAlign w:val="superscript"/>
    </w:rPr>
  </w:style>
  <w:style w:type="character" w:styleId="FootnoteCharacters">
    <w:name w:val="Footnote Characters"/>
    <w:qFormat/>
    <w:rPr>
      <w:vertAlign w:val="superscript"/>
    </w:rPr>
  </w:style>
  <w:style w:type="character" w:styleId="EndnoteTextChar">
    <w:name w:val="Endnote Text Char"/>
    <w:qFormat/>
    <w:rPr>
      <w:sz w:val="20"/>
    </w:rPr>
  </w:style>
  <w:style w:type="character" w:styleId="Style6">
    <w:name w:val="Символ концевой сноски"/>
    <w:qFormat/>
    <w:rPr>
      <w:vertAlign w:val="superscript"/>
    </w:rPr>
  </w:style>
  <w:style w:type="character" w:styleId="EndnoteReference">
    <w:name w:val="endnote reference"/>
    <w:qFormat/>
    <w:rPr>
      <w:vertAlign w:val="superscript"/>
    </w:rPr>
  </w:style>
  <w:style w:type="character" w:styleId="EndnoteCharacters">
    <w:name w:val="Endnote Characters"/>
    <w:qFormat/>
    <w:rPr>
      <w:vertAlign w:val="superscript"/>
    </w:rPr>
  </w:style>
  <w:style w:type="character" w:styleId="DefaultParagraphFont">
    <w:name w:val="Default Paragraph Font"/>
    <w:qFormat/>
    <w:rPr/>
  </w:style>
  <w:style w:type="paragraph" w:styleId="Style7">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8">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user1">
    <w:name w:val="Указатель (user)"/>
    <w:basedOn w:val="Normal"/>
    <w:qFormat/>
    <w:pPr>
      <w:suppressLineNumbers/>
    </w:pPr>
    <w:rPr>
      <w:rFonts w:cs="Lucida Sans"/>
    </w:rPr>
  </w:style>
  <w:style w:type="paragraph" w:styleId="ListParagraph">
    <w:name w:val="List Paragraph"/>
    <w:basedOn w:val="Normal"/>
    <w:qFormat/>
    <w:pPr>
      <w:spacing w:before="0" w:after="0"/>
      <w:ind w:hanging="0" w:left="720" w:right="0"/>
      <w:contextualSpacing/>
    </w:pPr>
    <w:rPr/>
  </w:style>
  <w:style w:type="paragraph" w:styleId="NoSpacing">
    <w:name w:val="No Spacing"/>
    <w:qFormat/>
    <w:pPr>
      <w:widowControl/>
      <w:suppressAutoHyphens w:val="true"/>
      <w:kinsoku w:val="true"/>
      <w:overflowPunct w:val="true"/>
      <w:autoSpaceDE w:val="true"/>
      <w:bidi w:val="0"/>
      <w:spacing w:lineRule="auto" w:line="240" w:before="0" w:after="0"/>
      <w:jc w:val="left"/>
    </w:pPr>
    <w:rPr>
      <w:rFonts w:ascii="Calibri" w:hAnsi="Calibri" w:eastAsia="NSimSun" w:cs="Lucida Sans"/>
      <w:color w:val="auto"/>
      <w:kern w:val="0"/>
      <w:sz w:val="20"/>
      <w:szCs w:val="24"/>
      <w:lang w:val="ru-RU" w:eastAsia="zh-CN" w:bidi="hi-IN"/>
    </w:rPr>
  </w:style>
  <w:style w:type="paragraph" w:styleId="Title">
    <w:name w:val="Title"/>
    <w:basedOn w:val="Normal"/>
    <w:qFormat/>
    <w:pPr>
      <w:spacing w:before="300" w:after="200"/>
      <w:contextualSpacing/>
    </w:pPr>
    <w:rPr>
      <w:sz w:val="48"/>
      <w:szCs w:val="48"/>
    </w:rPr>
  </w:style>
  <w:style w:type="paragraph" w:styleId="Subtitle">
    <w:name w:val="Subtitle"/>
    <w:basedOn w:val="Normal"/>
    <w:next w:val="BodyText"/>
    <w:qFormat/>
    <w:pPr>
      <w:spacing w:before="200" w:after="200"/>
    </w:pPr>
    <w:rPr>
      <w:sz w:val="24"/>
      <w:szCs w:val="24"/>
    </w:rPr>
  </w:style>
  <w:style w:type="paragraph" w:styleId="Quote">
    <w:name w:val="Quote"/>
    <w:basedOn w:val="Normal"/>
    <w:qFormat/>
    <w:pPr>
      <w:ind w:hanging="0"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fill="F2F2F2" w:val="clear"/>
      <w:spacing w:before="0" w:after="0"/>
      <w:ind w:hanging="0" w:left="720" w:right="720"/>
    </w:pPr>
    <w:rPr>
      <w:i/>
    </w:rPr>
  </w:style>
  <w:style w:type="paragraph" w:styleId="Style9">
    <w:name w:val="Верхний и нижний колонтитулы"/>
    <w:basedOn w:val="Normal"/>
    <w:qFormat/>
    <w:pPr/>
    <w:rPr/>
  </w:style>
  <w:style w:type="paragraph" w:styleId="Style10">
    <w:name w:val="Колонтитулы"/>
    <w:basedOn w:val="Normal"/>
    <w:qFormat/>
    <w:pPr/>
    <w:rPr/>
  </w:style>
  <w:style w:type="paragraph" w:styleId="Header">
    <w:name w:val="header"/>
    <w:basedOn w:val="Normal"/>
    <w:pPr>
      <w:tabs>
        <w:tab w:val="clear" w:pos="720"/>
        <w:tab w:val="center" w:pos="7143" w:leader="none"/>
        <w:tab w:val="right" w:pos="14287" w:leader="none"/>
      </w:tabs>
      <w:spacing w:lineRule="auto" w:line="240" w:before="0" w:after="0"/>
    </w:pPr>
    <w:rPr/>
  </w:style>
  <w:style w:type="paragraph" w:styleId="Footer">
    <w:name w:val="footer"/>
    <w:basedOn w:val="Normal"/>
    <w:pPr>
      <w:tabs>
        <w:tab w:val="clear" w:pos="720"/>
        <w:tab w:val="center" w:pos="7143" w:leader="none"/>
        <w:tab w:val="right" w:pos="14287" w:leader="none"/>
      </w:tabs>
      <w:spacing w:lineRule="auto" w:line="240" w:before="0" w:after="0"/>
    </w:pPr>
    <w:rPr/>
  </w:style>
  <w:style w:type="paragraph" w:styleId="FootnoteText">
    <w:name w:val="footnote text"/>
    <w:basedOn w:val="Normal"/>
    <w:pPr>
      <w:spacing w:lineRule="auto" w:line="240" w:before="0" w:after="40"/>
    </w:pPr>
    <w:rPr>
      <w:sz w:val="18"/>
    </w:rPr>
  </w:style>
  <w:style w:type="paragraph" w:styleId="EndnoteText">
    <w:name w:val="endnote text"/>
    <w:basedOn w:val="Normal"/>
    <w:pPr>
      <w:spacing w:lineRule="auto" w:line="240" w:before="0" w:after="0"/>
    </w:pPr>
    <w:rPr>
      <w:sz w:val="20"/>
    </w:rPr>
  </w:style>
  <w:style w:type="paragraph" w:styleId="TOC1">
    <w:name w:val="toc 1"/>
    <w:basedOn w:val="Normal"/>
    <w:pPr>
      <w:spacing w:before="0" w:after="57"/>
      <w:ind w:hanging="0" w:left="0" w:right="0"/>
    </w:pPr>
    <w:rPr/>
  </w:style>
  <w:style w:type="paragraph" w:styleId="TOC2">
    <w:name w:val="toc 2"/>
    <w:basedOn w:val="Normal"/>
    <w:pPr>
      <w:spacing w:before="0" w:after="57"/>
      <w:ind w:hanging="0" w:left="283" w:right="0"/>
    </w:pPr>
    <w:rPr/>
  </w:style>
  <w:style w:type="paragraph" w:styleId="TOC3">
    <w:name w:val="toc 3"/>
    <w:basedOn w:val="Normal"/>
    <w:pPr>
      <w:spacing w:before="0" w:after="57"/>
      <w:ind w:hanging="0" w:left="567" w:right="0"/>
    </w:pPr>
    <w:rPr/>
  </w:style>
  <w:style w:type="paragraph" w:styleId="TOC4">
    <w:name w:val="toc 4"/>
    <w:basedOn w:val="Normal"/>
    <w:pPr>
      <w:spacing w:before="0" w:after="57"/>
      <w:ind w:hanging="0" w:left="850" w:right="0"/>
    </w:pPr>
    <w:rPr/>
  </w:style>
  <w:style w:type="paragraph" w:styleId="TOC5">
    <w:name w:val="toc 5"/>
    <w:basedOn w:val="Normal"/>
    <w:pPr>
      <w:spacing w:before="0" w:after="57"/>
      <w:ind w:hanging="0" w:left="1134" w:right="0"/>
    </w:pPr>
    <w:rPr/>
  </w:style>
  <w:style w:type="paragraph" w:styleId="TOC6">
    <w:name w:val="toc 6"/>
    <w:basedOn w:val="Normal"/>
    <w:pPr>
      <w:spacing w:before="0" w:after="57"/>
      <w:ind w:hanging="0" w:left="1417" w:right="0"/>
    </w:pPr>
    <w:rPr/>
  </w:style>
  <w:style w:type="paragraph" w:styleId="TOC7">
    <w:name w:val="toc 7"/>
    <w:basedOn w:val="Normal"/>
    <w:pPr>
      <w:spacing w:before="0" w:after="57"/>
      <w:ind w:hanging="0" w:left="1701" w:right="0"/>
    </w:pPr>
    <w:rPr/>
  </w:style>
  <w:style w:type="paragraph" w:styleId="TOC8">
    <w:name w:val="toc 8"/>
    <w:basedOn w:val="Normal"/>
    <w:pPr>
      <w:spacing w:before="0" w:after="57"/>
      <w:ind w:hanging="0" w:left="1984" w:right="0"/>
    </w:pPr>
    <w:rPr/>
  </w:style>
  <w:style w:type="paragraph" w:styleId="TOC9">
    <w:name w:val="toc 9"/>
    <w:basedOn w:val="Normal"/>
    <w:pPr>
      <w:spacing w:before="0" w:after="57"/>
      <w:ind w:hanging="0" w:left="2268" w:right="0"/>
    </w:pPr>
    <w:rPr/>
  </w:style>
  <w:style w:type="paragraph" w:styleId="IndexHeading">
    <w:name w:val="index heading"/>
    <w:basedOn w:val="user"/>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NSimSun" w:cs="Lucida Sans"/>
      <w:color w:val="auto"/>
      <w:kern w:val="0"/>
      <w:sz w:val="20"/>
      <w:szCs w:val="24"/>
      <w:lang w:val="ru-RU" w:eastAsia="zh-CN" w:bidi="hi-IN"/>
    </w:rPr>
  </w:style>
  <w:style w:type="paragraph" w:styleId="TableofFigures">
    <w:name w:val="table of figures"/>
    <w:basedOn w:val="Normal"/>
    <w:qFormat/>
    <w:pPr>
      <w:spacing w:before="0" w:after="0"/>
    </w:pPr>
    <w:rPr/>
  </w:style>
  <w:style w:type="paragraph" w:styleId="Style11">
    <w:name w:val="Содержимое таблицы"/>
    <w:basedOn w:val="Normal"/>
    <w:qFormat/>
    <w:pPr>
      <w:widowControl w:val="false"/>
      <w:suppressLineNumbers/>
    </w:pPr>
    <w:rPr/>
  </w:style>
  <w:style w:type="paragraph" w:styleId="Style12">
    <w:name w:val="Заголовок таблицы"/>
    <w:basedOn w:val="Style1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26</TotalTime>
  <Application>LibreOffice/25.8.5.2$Windows_X86_64 LibreOffice_project/9c8b85f387cc00a89945a79c9e6239f32e450ac2</Application>
  <AppVersion>15.0000</AppVersion>
  <Pages>2</Pages>
  <Words>847</Words>
  <Characters>5865</Characters>
  <CharactersWithSpaces>6862</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2026-03-10T17:12:44Z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