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03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45"/>
        <w:gridCol w:w="946"/>
        <w:gridCol w:w="945"/>
        <w:gridCol w:w="945"/>
        <w:gridCol w:w="945"/>
        <w:gridCol w:w="947"/>
        <w:gridCol w:w="945"/>
        <w:gridCol w:w="945"/>
        <w:gridCol w:w="945"/>
        <w:gridCol w:w="946"/>
        <w:gridCol w:w="941"/>
      </w:tblGrid>
      <w:tr w:rsidR="006A286A" w:rsidRPr="00D16F50">
        <w:trPr>
          <w:trHeight w:hRule="exact" w:val="31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ДОГОВОР</w:t>
            </w:r>
          </w:p>
        </w:tc>
      </w:tr>
      <w:tr w:rsidR="006A286A" w:rsidRPr="00D16F50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купли-продажи</w:t>
            </w:r>
          </w:p>
        </w:tc>
      </w:tr>
      <w:tr w:rsidR="006A286A" w:rsidRPr="00D16F50">
        <w:trPr>
          <w:trHeight w:hRule="exact" w:val="270"/>
        </w:trPr>
        <w:tc>
          <w:tcPr>
            <w:tcW w:w="9452" w:type="dxa"/>
            <w:gridSpan w:val="10"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Мы, нижеподписавшиеся:</w:t>
            </w:r>
          </w:p>
        </w:tc>
      </w:tr>
      <w:tr w:rsidR="006A286A" w:rsidRPr="00D16F50" w:rsidTr="009D1373">
        <w:trPr>
          <w:trHeight w:hRule="exact" w:val="1526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9D1373" w:rsidRDefault="009D1373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373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Перфильева Виолетта Викторовна </w:t>
            </w:r>
            <w:r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(дата рождения: 13.08.1992 г., место рождения: пос. Правдинск </w:t>
            </w:r>
            <w:proofErr w:type="spellStart"/>
            <w:r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Балахнинского</w:t>
            </w:r>
            <w:proofErr w:type="spellEnd"/>
            <w:r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района Нижегородской области, СНИЛС 135-404-281 30, ИНН 524408081151, адрес регистрации по месту жительства: 606514, Нижегородская область, Городец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кий р-н, </w:t>
            </w:r>
            <w:proofErr w:type="spellStart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 Первое Мая, д. 41А</w:t>
            </w:r>
            <w:r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  <w:r w:rsidR="008F5AA7"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</w:p>
          <w:p w:rsidR="006A286A" w:rsidRPr="00D16F50" w:rsidRDefault="008F5AA7" w:rsidP="009D1373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 xml:space="preserve">в лице Гражданина РФ Финансового управляющего </w:t>
            </w:r>
            <w:r w:rsidR="00C9197B"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Цветкова Андрея Владимировича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действующего на основании 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решения Арбитражного суда Нижегородской области </w:t>
            </w:r>
            <w:r w:rsidR="009D1373"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от 14.07.2025 </w:t>
            </w:r>
            <w:r w:rsid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</w:t>
            </w:r>
            <w:r w:rsidR="009D1373" w:rsidRP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 делу № А43-16476/2025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, именуемый в дальней</w:t>
            </w:r>
            <w:r w:rsidR="00C9197B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шем «Продавец», с одной стороны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и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Гражданин </w:t>
            </w:r>
            <w:proofErr w:type="gram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РФ  ,</w:t>
            </w:r>
            <w:proofErr w:type="gram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именуемый в дальнейшем «Покупатель» с другой стороны, а совместно именуемые «Стороны», заключили настоящий договор о нижеследующем,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1.  Предмет договора</w:t>
            </w:r>
          </w:p>
        </w:tc>
      </w:tr>
      <w:tr w:rsidR="006A286A" w:rsidRPr="00D16F50" w:rsidTr="00D16F50">
        <w:trPr>
          <w:trHeight w:hRule="exact" w:val="739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1.1. </w:t>
            </w:r>
            <w:r w:rsidR="001B06BB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В соответствии с Протоколом №____________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, размещенным на торговой </w:t>
            </w:r>
            <w:r w:rsidR="00D16F50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площадке АО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"РАД" (https://lot-online.ru/) (далее по тексту – "Протокол"), Продавец обязуется передать в собственность Покупателя, признанного Победителем указанных торгов, имущество, выигранное на этих торгах, а именно:</w:t>
            </w:r>
          </w:p>
        </w:tc>
      </w:tr>
      <w:tr w:rsidR="006A286A" w:rsidRPr="00D16F50" w:rsidTr="004B506B">
        <w:trPr>
          <w:trHeight w:hRule="exact" w:val="753"/>
        </w:trPr>
        <w:tc>
          <w:tcPr>
            <w:tcW w:w="10393" w:type="dxa"/>
            <w:gridSpan w:val="11"/>
            <w:shd w:val="clear" w:color="FFFFFF" w:fill="FFFFFF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A286A" w:rsidRPr="00D16F50" w:rsidTr="00D16F50">
        <w:trPr>
          <w:trHeight w:hRule="exact" w:val="281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D16F50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1.2. Имущество принадлежит Продавцу на праве собственности </w:t>
            </w:r>
            <w:r w:rsidR="008F5A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(далее по тексту - «Имущество»).</w:t>
            </w:r>
          </w:p>
        </w:tc>
      </w:tr>
      <w:tr w:rsidR="006A286A" w:rsidRPr="00D16F50" w:rsidTr="00D16F50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 Обязанности Сторон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F94998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98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2.1. Продавец обязуется:</w:t>
            </w:r>
          </w:p>
        </w:tc>
      </w:tr>
      <w:tr w:rsidR="006A286A" w:rsidRPr="00D16F50" w:rsidTr="00301F79">
        <w:trPr>
          <w:trHeight w:hRule="exact" w:val="731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2.1.1. Передать Покупателю имущество по акту приема-передачи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путем передачи документов, имеющихся в распоряжении финансового управляющего</w:t>
            </w:r>
            <w:r w:rsidR="00F94998">
              <w:rPr>
                <w:rFonts w:ascii="Times New Roman" w:hAnsi="Times New Roman" w:cs="Times New Roman"/>
                <w:kern w:val="0"/>
                <w:sz w:val="20"/>
                <w:szCs w:val="20"/>
              </w:rPr>
              <w:t>,</w:t>
            </w:r>
            <w:r w:rsidR="00301F79"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1F79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течение 30 (тридцати) рабочих дней с момента поступления на расчетный счет Продавца денежных средств в соответствии с настоящим договором</w:t>
            </w:r>
            <w:r w:rsidR="00F4269E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</w:tr>
      <w:tr w:rsidR="006A286A" w:rsidRPr="00D16F50" w:rsidTr="00301F79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F94998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4998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2.2. Покупатель обязан: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2.2.1. Оплатить полную стоимость имущества в соответствии с настоящим договором.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2.2.2. В течение 30 (тридцати)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3. Цена и порядок расчетов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3.1. Стоимость имущества составляет:</w:t>
            </w:r>
          </w:p>
        </w:tc>
      </w:tr>
      <w:tr w:rsidR="006A286A" w:rsidRPr="00D16F50">
        <w:trPr>
          <w:trHeight w:hRule="exact" w:val="97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</w:t>
            </w:r>
            <w:r w:rsidR="00301F79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___________________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на сайте https://lot-online.ru/, и указана в </w:t>
            </w:r>
            <w:r w:rsidR="00787A93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Протоколе 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является окончательной и изменению не подлежит.</w:t>
            </w:r>
          </w:p>
        </w:tc>
      </w:tr>
      <w:tr w:rsidR="006A286A" w:rsidRPr="00D16F50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3.2. Расходы по переходу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      </w:r>
          </w:p>
        </w:tc>
      </w:tr>
      <w:tr w:rsidR="006A286A" w:rsidRPr="00D16F50">
        <w:trPr>
          <w:trHeight w:hRule="exact" w:val="49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3.3. Оплата стоимости имущества по настоящему договору осуществляется Покупателем безналичным платежом на расчетный счет:</w:t>
            </w:r>
          </w:p>
        </w:tc>
      </w:tr>
      <w:tr w:rsidR="006A286A" w:rsidRPr="00D16F50" w:rsidTr="001B06BB">
        <w:trPr>
          <w:trHeight w:hRule="exact" w:val="5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D16F50">
        <w:trPr>
          <w:trHeight w:hRule="exact" w:val="739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в течение тридцати дней с даты подписания настоящего договора.</w:t>
            </w:r>
          </w:p>
          <w:p w:rsidR="001B06BB" w:rsidRPr="00D16F50" w:rsidRDefault="001B06BB" w:rsidP="00D16F50">
            <w:pPr>
              <w:ind w:firstLine="567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ВНИМАНИЕ! В НАЗНАЧЕНИЕ ПЛАТЕЖА ПРИ ПЕРЕВОДЕ ОСНОВНОЙ СУММЫ ПО ТОРГАМ УКАЗЫВАЕТСЯ: "ФИО ДОЛЖНИКА, оплата по </w:t>
            </w:r>
            <w:proofErr w:type="spellStart"/>
            <w:r w:rsidRPr="00D16F50">
              <w:rPr>
                <w:rFonts w:ascii="Times New Roman" w:hAnsi="Times New Roman" w:cs="Times New Roman"/>
                <w:sz w:val="20"/>
                <w:szCs w:val="20"/>
              </w:rPr>
              <w:t>дкп</w:t>
            </w:r>
            <w:proofErr w:type="spellEnd"/>
            <w:r w:rsidRPr="00D16F50">
              <w:rPr>
                <w:rFonts w:ascii="Times New Roman" w:hAnsi="Times New Roman" w:cs="Times New Roman"/>
                <w:sz w:val="20"/>
                <w:szCs w:val="20"/>
              </w:rPr>
              <w:t xml:space="preserve"> от ... г. по имуществу ...»</w:t>
            </w:r>
            <w:r w:rsidR="00787A93" w:rsidRPr="00D16F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B06BB" w:rsidRPr="00D16F50" w:rsidRDefault="001B06BB" w:rsidP="00D16F50">
            <w:pPr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D16F50">
        <w:trPr>
          <w:trHeight w:hRule="exact" w:val="1504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3.4. </w:t>
            </w:r>
            <w:r w:rsidR="008F5AA7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      </w:r>
          </w:p>
          <w:p w:rsidR="004245FD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3.5. Цена продажи долей является твердой и окончательной. Никакие </w:t>
            </w:r>
            <w:r w:rsidR="00D16F50"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обстоятельства не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могут быть основанием для предъявления Покупателем требования о пересмотре цены продажи долей. Покупатель подтверждает, что знаком с финансовым и имущественным состоянием Общества, с размером активов и обязательств Общества.</w:t>
            </w:r>
          </w:p>
          <w:p w:rsidR="004245FD" w:rsidRPr="00D16F50" w:rsidRDefault="004245FD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4. Передача имущества и переход риска случайной гибели имущества</w:t>
            </w:r>
          </w:p>
        </w:tc>
      </w:tr>
      <w:tr w:rsidR="006A286A" w:rsidRPr="00D16F50">
        <w:trPr>
          <w:trHeight w:hRule="exact" w:val="93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4.1. Продавец в течение 30 (тридцати)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приема-передачи. Момент подписания акта приема-передачи является моментом передачи имущества Покупателю.</w:t>
            </w:r>
          </w:p>
        </w:tc>
      </w:tr>
      <w:tr w:rsidR="006A286A" w:rsidRPr="00D16F50">
        <w:trPr>
          <w:trHeight w:hRule="exact" w:val="6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301F79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4.3. Имущество, полагают Стороны договора, будет считаться переданным от Продавца Покупателю с момента подписания акта приема-передачи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      </w:r>
          </w:p>
        </w:tc>
      </w:tr>
      <w:tr w:rsidR="006A286A" w:rsidRPr="00D16F50" w:rsidTr="00D626EF">
        <w:trPr>
          <w:trHeight w:hRule="exact" w:val="5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6A286A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5. Возникновение права собственности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5.1.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лиц.</w:t>
            </w:r>
          </w:p>
        </w:tc>
      </w:tr>
      <w:tr w:rsidR="006A286A" w:rsidRPr="00D16F50" w:rsidTr="00D626EF">
        <w:trPr>
          <w:trHeight w:hRule="exact" w:val="1128"/>
        </w:trPr>
        <w:tc>
          <w:tcPr>
            <w:tcW w:w="10393" w:type="dxa"/>
            <w:gridSpan w:val="11"/>
            <w:shd w:val="clear" w:color="FFFFFF" w:fill="auto"/>
          </w:tcPr>
          <w:p w:rsidR="000431A7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5.2. Настоящий Договор подлежит нотариальному удостоверению</w:t>
            </w:r>
            <w:r w:rsid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>. Н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отариус определяется финансовым управляющим с учетом его территориальн</w:t>
            </w:r>
            <w:r w:rsid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>ого местонахождения, оплата нотариальны</w:t>
            </w:r>
            <w:r w:rsid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>х услуг</w:t>
            </w:r>
            <w:r w:rsidR="009D1373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осуществляется Покупателем.</w:t>
            </w:r>
          </w:p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Нотариус, удостоверивший подписи Сторон, направляет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лиц.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6. Ответственность Сторон</w:t>
            </w:r>
          </w:p>
        </w:tc>
      </w:tr>
      <w:tr w:rsidR="006A286A" w:rsidRPr="00D16F50">
        <w:trPr>
          <w:trHeight w:hRule="exact" w:val="51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      </w:r>
          </w:p>
        </w:tc>
      </w:tr>
      <w:tr w:rsidR="006A286A" w:rsidRPr="00D16F50">
        <w:trPr>
          <w:trHeight w:hRule="exact" w:val="52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6.2. Отсутствие вины за неисполнение или ненадлежащее исполнение обязательств по договору доказывается Стороной, нарушившей обязательства.</w:t>
            </w:r>
          </w:p>
        </w:tc>
      </w:tr>
      <w:tr w:rsidR="006A286A" w:rsidRPr="00D16F50">
        <w:trPr>
          <w:trHeight w:hRule="exact" w:val="222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7. Порядок разрешения споров</w:t>
            </w:r>
          </w:p>
        </w:tc>
      </w:tr>
      <w:tr w:rsidR="006A286A" w:rsidRPr="00D16F50">
        <w:trPr>
          <w:trHeight w:hRule="exact" w:val="54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7.1. Споры, вытекающие из настоящего Договора, подлежат рассмотрению в арбитражном суде в порядке, предусмотренном действующим законодательством РФ.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8. Условия изменения и расторжения договора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8.1. Расторжение настоящего договора осуществляется в порядке, предусмотренном законодательством Российской Федерации, без возврата внесенного задатка.</w:t>
            </w:r>
          </w:p>
        </w:tc>
      </w:tr>
      <w:tr w:rsidR="006A286A" w:rsidRPr="00D16F50">
        <w:trPr>
          <w:trHeight w:hRule="exact" w:val="75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0431A7" w:rsidRPr="00D16F50" w:rsidRDefault="008F5AA7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8.2. Если покупатель в нарушение договора купли-продажи отказывается принять и оплатить товар, продавец вправе по своему выбору потребовать оплаты товара либо отказаться от исполнения договора.  (п. 4 ст. 486 Гражданского Кодекса Российской Федерации).</w:t>
            </w:r>
          </w:p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>
        <w:trPr>
          <w:trHeight w:hRule="exact" w:val="99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8.3. Право на односторонний отказ от договора (исполнения договора) (статья 310 Гражданского Кодекса Российской Федерации) может быть осуществлено </w:t>
            </w:r>
            <w:proofErr w:type="spell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управомоченной</w:t>
            </w:r>
            <w:proofErr w:type="spell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стороной путем уведомления другой стороны об отказе от договора (исполнения договора). Договор прекращается с момента получения данного уведомления, если иное не предусмотрено настоящим Кодексом, другими законами, иными правовыми актами или договором.</w:t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 w:rsidTr="00DD35F1">
        <w:trPr>
          <w:trHeight w:hRule="exact" w:val="777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0431A7" w:rsidRPr="00D16F50" w:rsidRDefault="008F5AA7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               В случае одностороннего отказа от договора (исполнения договора) полностью или частично, если такой отказ допускается, договор считается расторгнутым или измененным. (</w:t>
            </w:r>
            <w:proofErr w:type="spellStart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пп</w:t>
            </w:r>
            <w:proofErr w:type="spellEnd"/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. 1, 2 Статья 450.1. Гражданского Кодекса Российской Федерации).</w:t>
            </w:r>
          </w:p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br/>
            </w:r>
          </w:p>
        </w:tc>
      </w:tr>
      <w:tr w:rsidR="006A286A" w:rsidRPr="00D16F50" w:rsidTr="00DD35F1">
        <w:trPr>
          <w:trHeight w:hRule="exact" w:val="278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9. Заключительные положения</w:t>
            </w:r>
          </w:p>
        </w:tc>
      </w:tr>
      <w:tr w:rsidR="006A286A" w:rsidRPr="00D16F50">
        <w:trPr>
          <w:trHeight w:hRule="exact" w:val="5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      </w:r>
          </w:p>
        </w:tc>
      </w:tr>
      <w:tr w:rsidR="006A286A" w:rsidRPr="00D16F50">
        <w:trPr>
          <w:trHeight w:hRule="exact" w:val="30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9.2. Сторонами договора рассмотрены все документы, подготовленные в связи с продажей имущества.</w:t>
            </w:r>
          </w:p>
        </w:tc>
      </w:tr>
      <w:tr w:rsidR="006A286A" w:rsidRPr="00D16F50">
        <w:trPr>
          <w:trHeight w:hRule="exact" w:val="270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9.3. Настоящий Договор составлен в 2-х экземплярах, имеющих одинаковую юридическую силу.</w:t>
            </w:r>
          </w:p>
        </w:tc>
      </w:tr>
      <w:tr w:rsidR="006A286A" w:rsidRPr="00D16F50" w:rsidTr="00716CD9">
        <w:trPr>
          <w:trHeight w:hRule="exact" w:val="1132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      </w:r>
          </w:p>
        </w:tc>
      </w:tr>
      <w:tr w:rsidR="006A286A" w:rsidRPr="00D16F50">
        <w:trPr>
          <w:trHeight w:hRule="exact" w:val="285"/>
        </w:trPr>
        <w:tc>
          <w:tcPr>
            <w:tcW w:w="10393" w:type="dxa"/>
            <w:gridSpan w:val="11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10. Реквизиты и подписи Сторон</w:t>
            </w:r>
          </w:p>
        </w:tc>
      </w:tr>
      <w:tr w:rsidR="006A286A" w:rsidRPr="00D16F50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Продавец: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Покупатель:</w:t>
            </w:r>
          </w:p>
        </w:tc>
      </w:tr>
      <w:tr w:rsidR="006A286A" w:rsidRPr="00D16F50">
        <w:trPr>
          <w:trHeight w:hRule="exact" w:val="28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8F5AA7" w:rsidP="00D16F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Гражданин РФ</w:t>
            </w:r>
          </w:p>
        </w:tc>
      </w:tr>
      <w:tr w:rsidR="006A286A" w:rsidRPr="00D16F50" w:rsidTr="000E2ABE">
        <w:trPr>
          <w:trHeight w:hRule="exact" w:val="2558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2C6AE4" w:rsidRDefault="002C6AE4" w:rsidP="00D16F50">
            <w:pPr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2C6AE4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Перфильева Виолетта Викторовна</w:t>
            </w:r>
          </w:p>
          <w:p w:rsidR="002C6AE4" w:rsidRPr="002C6AE4" w:rsidRDefault="002C6AE4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дата рождения: 13.08.1992 г., место рождения: пос. Правдинск </w:t>
            </w:r>
            <w:proofErr w:type="spellStart"/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>Балахнинского</w:t>
            </w:r>
            <w:proofErr w:type="spellEnd"/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района Нижегородской области, </w:t>
            </w:r>
          </w:p>
          <w:p w:rsidR="002C6AE4" w:rsidRPr="002C6AE4" w:rsidRDefault="002C6AE4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СНИЛС 135-404-281 30, ИНН 524408081151, </w:t>
            </w:r>
          </w:p>
          <w:p w:rsidR="000431A7" w:rsidRPr="002C6AE4" w:rsidRDefault="002C6AE4" w:rsidP="00D16F50">
            <w:pPr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адрес: 606514, Нижегородская область, Городецкий р-н, </w:t>
            </w:r>
            <w:proofErr w:type="spellStart"/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>сп</w:t>
            </w:r>
            <w:proofErr w:type="spellEnd"/>
            <w:r w:rsidRPr="002C6AE4">
              <w:rPr>
                <w:rFonts w:ascii="Times New Roman" w:hAnsi="Times New Roman" w:cs="Times New Roman"/>
                <w:kern w:val="0"/>
                <w:sz w:val="20"/>
                <w:szCs w:val="20"/>
              </w:rPr>
              <w:t>. Первое Мая, д. 41А</w:t>
            </w:r>
          </w:p>
          <w:p w:rsidR="002C6AE4" w:rsidRPr="00D16F50" w:rsidRDefault="002C6AE4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AE4">
              <w:rPr>
                <w:rFonts w:ascii="Times New Roman" w:hAnsi="Times New Roman" w:cs="Times New Roman"/>
                <w:sz w:val="20"/>
                <w:szCs w:val="20"/>
              </w:rPr>
              <w:t>р/с №42307810242143960964, Филиал ПАО Сбербанк (публичное акционерное общество) Волго-Вятский банк, БИК 042202603, к/с 30101810900000000603</w:t>
            </w:r>
          </w:p>
        </w:tc>
        <w:tc>
          <w:tcPr>
            <w:tcW w:w="5669" w:type="dxa"/>
            <w:gridSpan w:val="6"/>
            <w:vMerge w:val="restart"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276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6A286A" w:rsidP="00D16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716CD9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 w:rsidTr="00716CD9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6"/>
            <w:vMerge/>
            <w:shd w:val="clear" w:color="FFFFFF" w:fill="auto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00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Финансовый управляющий</w:t>
            </w: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55"/>
        </w:trPr>
        <w:tc>
          <w:tcPr>
            <w:tcW w:w="4724" w:type="dxa"/>
            <w:gridSpan w:val="5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 w:rsidTr="000E2ABE">
        <w:trPr>
          <w:trHeight w:hRule="exact" w:val="55"/>
        </w:trPr>
        <w:tc>
          <w:tcPr>
            <w:tcW w:w="944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A" w:rsidRPr="00D16F50">
        <w:trPr>
          <w:trHeight w:hRule="exact" w:val="360"/>
        </w:trPr>
        <w:tc>
          <w:tcPr>
            <w:tcW w:w="2834" w:type="dxa"/>
            <w:gridSpan w:val="3"/>
            <w:shd w:val="clear" w:color="FFFFFF" w:fill="auto"/>
            <w:vAlign w:val="bottom"/>
          </w:tcPr>
          <w:p w:rsidR="006A286A" w:rsidRPr="00D16F50" w:rsidRDefault="000E2ABE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Цветков Андрей Владимирович</w:t>
            </w:r>
          </w:p>
        </w:tc>
        <w:tc>
          <w:tcPr>
            <w:tcW w:w="1890" w:type="dxa"/>
            <w:gridSpan w:val="2"/>
            <w:shd w:val="clear" w:color="FFFFFF" w:fill="auto"/>
            <w:vAlign w:val="bottom"/>
          </w:tcPr>
          <w:p w:rsidR="006A286A" w:rsidRPr="00D16F50" w:rsidRDefault="008F5AA7" w:rsidP="00D16F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F50">
              <w:rPr>
                <w:rFonts w:ascii="Times New Roman" w:hAnsi="Times New Roman" w:cs="Times New Roman"/>
                <w:kern w:val="0"/>
                <w:sz w:val="20"/>
                <w:szCs w:val="20"/>
              </w:rPr>
              <w:t>______________</w:t>
            </w:r>
          </w:p>
        </w:tc>
        <w:tc>
          <w:tcPr>
            <w:tcW w:w="5669" w:type="dxa"/>
            <w:gridSpan w:val="6"/>
            <w:shd w:val="clear" w:color="FFFFFF" w:fill="auto"/>
            <w:vAlign w:val="bottom"/>
          </w:tcPr>
          <w:p w:rsidR="006A286A" w:rsidRPr="00D16F50" w:rsidRDefault="006A286A" w:rsidP="00D16F5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F5AA7" w:rsidRPr="00D16F50" w:rsidRDefault="008F5AA7" w:rsidP="00D16F50">
      <w:pPr>
        <w:rPr>
          <w:rFonts w:ascii="Times New Roman" w:hAnsi="Times New Roman" w:cs="Times New Roman"/>
          <w:sz w:val="20"/>
          <w:szCs w:val="20"/>
        </w:rPr>
      </w:pPr>
    </w:p>
    <w:sectPr w:rsidR="008F5AA7" w:rsidRPr="00D16F50">
      <w:pgSz w:w="11906" w:h="16838"/>
      <w:pgMar w:top="567" w:right="567" w:bottom="567" w:left="56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6A286A"/>
    <w:rsid w:val="000431A7"/>
    <w:rsid w:val="000E2ABE"/>
    <w:rsid w:val="0017118B"/>
    <w:rsid w:val="001B06BB"/>
    <w:rsid w:val="002C6AE4"/>
    <w:rsid w:val="00301F79"/>
    <w:rsid w:val="004245FD"/>
    <w:rsid w:val="004B506B"/>
    <w:rsid w:val="00684033"/>
    <w:rsid w:val="006A286A"/>
    <w:rsid w:val="00716CD9"/>
    <w:rsid w:val="00787A93"/>
    <w:rsid w:val="008F5AA7"/>
    <w:rsid w:val="009D1373"/>
    <w:rsid w:val="009E148C"/>
    <w:rsid w:val="00C9197B"/>
    <w:rsid w:val="00D16F50"/>
    <w:rsid w:val="00D626EF"/>
    <w:rsid w:val="00DD35F1"/>
    <w:rsid w:val="00F4269E"/>
    <w:rsid w:val="00F9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35645-B1F5-4EBF-82A0-1DFB7D64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NSimSun" w:hAnsi="Calibri" w:cs="Lucida Sans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7">
    <w:name w:val="index heading"/>
    <w:basedOn w:val="a"/>
    <w:qFormat/>
    <w:pPr>
      <w:suppressLineNumbers/>
    </w:pPr>
  </w:style>
  <w:style w:type="table" w:customStyle="1" w:styleId="TableStyle0">
    <w:name w:val="TableStyle0"/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1312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Наталья Уварова</cp:lastModifiedBy>
  <cp:revision>9</cp:revision>
  <dcterms:created xsi:type="dcterms:W3CDTF">2024-10-03T14:56:00Z</dcterms:created>
  <dcterms:modified xsi:type="dcterms:W3CDTF">2026-01-15T12:21:00Z</dcterms:modified>
  <dc:language>ru-RU</dc:language>
</cp:coreProperties>
</file>