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665" w:type="dxa"/>
        <w:jc w:val="left"/>
        <w:tblInd w:w="0" w:type="dxa"/>
        <w:tblLayout w:type="fixed"/>
        <w:tblCellMar>
          <w:top w:w="0" w:type="dxa"/>
          <w:left w:w="0" w:type="dxa"/>
          <w:bottom w:w="0" w:type="dxa"/>
          <w:right w:w="0" w:type="dxa"/>
        </w:tblCellMar>
        <w:tblLook w:val="04a0"/>
      </w:tblPr>
      <w:tblGrid>
        <w:gridCol w:w="974"/>
        <w:gridCol w:w="945"/>
        <w:gridCol w:w="945"/>
        <w:gridCol w:w="945"/>
        <w:gridCol w:w="1441"/>
        <w:gridCol w:w="179"/>
        <w:gridCol w:w="945"/>
        <w:gridCol w:w="946"/>
        <w:gridCol w:w="945"/>
        <w:gridCol w:w="945"/>
        <w:gridCol w:w="1453"/>
      </w:tblGrid>
      <w:tr>
        <w:trPr>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ДОГОВОР</w:t>
            </w:r>
          </w:p>
        </w:tc>
      </w:tr>
      <w:tr>
        <w:trPr>
          <w:trHeight w:val="270" w:hRule="atLeast"/>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купли-продажи</w:t>
            </w:r>
          </w:p>
        </w:tc>
      </w:tr>
      <w:tr>
        <w:trPr>
          <w:trHeight w:val="270" w:hRule="atLeast"/>
          <w:cantSplit w:val="true"/>
        </w:trPr>
        <w:tc>
          <w:tcPr>
            <w:tcW w:w="10663" w:type="dxa"/>
            <w:gridSpan w:val="11"/>
            <w:tcBorders/>
            <w:shd w:color="auto" w:fill="auto" w:val="clear"/>
          </w:tcPr>
          <w:p>
            <w:pPr>
              <w:pStyle w:val="Normal"/>
              <w:bidi w:val="0"/>
              <w:spacing w:before="0" w:after="0"/>
              <w:jc w:val="both"/>
              <w:rPr>
                <w:rFonts w:ascii="Times New Roman" w:hAnsi="Times New Roman"/>
                <w:sz w:val="20"/>
                <w:szCs w:val="20"/>
              </w:rPr>
            </w:pPr>
            <w:r>
              <w:rPr/>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Мы, нижеподписавшиеся:</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135" w:hRule="atLeast"/>
          <w:cantSplit w:val="true"/>
        </w:trPr>
        <w:tc>
          <w:tcPr>
            <w:tcW w:w="974"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41" w:type="dxa"/>
            <w:tcBorders/>
            <w:shd w:color="auto" w:fill="auto" w:val="clear"/>
            <w:vAlign w:val="bottom"/>
          </w:tcPr>
          <w:p>
            <w:pPr>
              <w:pStyle w:val="Normal"/>
              <w:bidi w:val="0"/>
              <w:spacing w:before="0" w:after="0"/>
              <w:jc w:val="both"/>
              <w:rPr/>
            </w:pPr>
            <w:r>
              <w:rPr/>
            </w:r>
          </w:p>
        </w:tc>
        <w:tc>
          <w:tcPr>
            <w:tcW w:w="179"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6"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53" w:type="dxa"/>
            <w:tcBorders/>
            <w:shd w:color="auto" w:fill="auto" w:val="clear"/>
            <w:vAlign w:val="bottom"/>
          </w:tcPr>
          <w:p>
            <w:pPr>
              <w:pStyle w:val="Normal"/>
              <w:bidi w:val="0"/>
              <w:spacing w:before="0" w:after="0"/>
              <w:jc w:val="both"/>
              <w:rPr/>
            </w:pPr>
            <w:r>
              <w:rPr/>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1.  Предмет договора</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1.1.  В соответствии с Протоколом №  от г.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cantSplit w:val="true"/>
        </w:trPr>
        <w:tc>
          <w:tcPr>
            <w:tcW w:w="10663" w:type="dxa"/>
            <w:gridSpan w:val="11"/>
            <w:tcBorders/>
            <w:shd w:color="auto" w:fill="FFFFFF" w:val="clear"/>
            <w:vAlign w:val="bottom"/>
          </w:tcPr>
          <w:p>
            <w:pPr>
              <w:pStyle w:val="Normal"/>
              <w:bidi w:val="0"/>
              <w:spacing w:before="0" w:after="0"/>
              <w:jc w:val="both"/>
              <w:rPr/>
            </w:pPr>
            <w:r>
              <w:rPr>
                <w:rFonts w:ascii="Times New Roman" w:hAnsi="Times New Roman"/>
                <w:sz w:val="20"/>
                <w:szCs w:val="20"/>
              </w:rPr>
              <w:t>ЛОТ №</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atLeast"/>
          <w:cantSplit w:val="true"/>
        </w:trPr>
        <w:tc>
          <w:tcPr>
            <w:tcW w:w="974"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41" w:type="dxa"/>
            <w:tcBorders/>
            <w:shd w:color="auto" w:fill="auto" w:val="clear"/>
            <w:vAlign w:val="bottom"/>
          </w:tcPr>
          <w:p>
            <w:pPr>
              <w:pStyle w:val="Normal"/>
              <w:bidi w:val="0"/>
              <w:spacing w:before="0" w:after="0"/>
              <w:jc w:val="both"/>
              <w:rPr/>
            </w:pPr>
            <w:r>
              <w:rPr/>
            </w:r>
          </w:p>
        </w:tc>
        <w:tc>
          <w:tcPr>
            <w:tcW w:w="179"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6"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53" w:type="dxa"/>
            <w:tcBorders/>
            <w:shd w:color="auto" w:fill="auto" w:val="clear"/>
            <w:vAlign w:val="bottom"/>
          </w:tcPr>
          <w:p>
            <w:pPr>
              <w:pStyle w:val="Normal"/>
              <w:bidi w:val="0"/>
              <w:spacing w:before="0" w:after="0"/>
              <w:jc w:val="both"/>
              <w:rPr/>
            </w:pPr>
            <w:r>
              <w:rPr/>
            </w:r>
          </w:p>
        </w:tc>
      </w:tr>
      <w:tr>
        <w:trPr>
          <w:trHeight w:val="51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2. Обязанности Сторон</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2.1. Продавец обязуется:</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2.1.1. Передать Покупателю имущество по акту приема-передачи.</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2.2. Покупатель обязан:</w:t>
            </w:r>
          </w:p>
        </w:tc>
      </w:tr>
      <w:tr>
        <w:trPr>
          <w:trHeight w:val="285" w:hRule="atLeast"/>
          <w:cantSplit w:val="true"/>
        </w:trPr>
        <w:tc>
          <w:tcPr>
            <w:tcW w:w="10663" w:type="dxa"/>
            <w:gridSpan w:val="11"/>
            <w:tcBorders/>
            <w:shd w:color="auto" w:fill="auto" w:val="clear"/>
            <w:vAlign w:val="bottom"/>
          </w:tcPr>
          <w:p>
            <w:pPr>
              <w:pStyle w:val="Normal"/>
              <w:bidi w:val="0"/>
              <w:spacing w:before="0" w:after="0"/>
              <w:jc w:val="left"/>
              <w:rPr/>
            </w:pPr>
            <w:r>
              <w:rPr>
                <w:rFonts w:ascii="Times New Roman" w:hAnsi="Times New Roman"/>
                <w:sz w:val="20"/>
                <w:szCs w:val="20"/>
              </w:rPr>
              <w:t>2.2.1. Оплатить полную стоимость имущества в соответствии с настоящим договором.</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3. Цена и порядок расчетов</w:t>
            </w:r>
          </w:p>
        </w:tc>
      </w:tr>
      <w:tr>
        <w:trPr>
          <w:cantSplit w:val="true"/>
        </w:trPr>
        <w:tc>
          <w:tcPr>
            <w:tcW w:w="10663" w:type="dxa"/>
            <w:gridSpan w:val="11"/>
            <w:tcBorders/>
            <w:shd w:color="auto" w:fill="auto" w:val="clear"/>
            <w:vAlign w:val="bottom"/>
          </w:tcPr>
          <w:p>
            <w:pPr>
              <w:pStyle w:val="Normal"/>
              <w:bidi w:val="0"/>
              <w:spacing w:before="0" w:after="0"/>
              <w:jc w:val="left"/>
              <w:rPr/>
            </w:pPr>
            <w:r>
              <w:rPr>
                <w:rFonts w:ascii="Times New Roman" w:hAnsi="Times New Roman"/>
                <w:sz w:val="20"/>
                <w:szCs w:val="20"/>
              </w:rPr>
              <w:t>3.1. Стоимость имущества составляет:</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cantSplit w:val="true"/>
        </w:trPr>
        <w:tc>
          <w:tcPr>
            <w:tcW w:w="10663" w:type="dxa"/>
            <w:gridSpan w:val="11"/>
            <w:tcBorders/>
            <w:shd w:color="auto" w:fill="auto" w:val="clear"/>
            <w:vAlign w:val="bottom"/>
          </w:tcPr>
          <w:p>
            <w:pPr>
              <w:pStyle w:val="Normal"/>
              <w:bidi w:val="0"/>
              <w:spacing w:before="0" w:after="0"/>
              <w:jc w:val="left"/>
              <w:rPr/>
            </w:pPr>
            <w:r>
              <w:rPr/>
            </w:r>
          </w:p>
        </w:tc>
      </w:tr>
      <w:tr>
        <w:trPr>
          <w:cantSplit w:val="true"/>
        </w:trPr>
        <w:tc>
          <w:tcPr>
            <w:tcW w:w="10663" w:type="dxa"/>
            <w:gridSpan w:val="11"/>
            <w:tcBorders/>
            <w:shd w:color="auto" w:fill="auto" w:val="clear"/>
            <w:vAlign w:val="bottom"/>
          </w:tcPr>
          <w:p>
            <w:pPr>
              <w:pStyle w:val="Normal"/>
              <w:bidi w:val="0"/>
              <w:spacing w:before="0" w:after="0"/>
              <w:jc w:val="left"/>
              <w:rPr/>
            </w:pPr>
            <w:r>
              <w:rPr>
                <w:rFonts w:ascii="Times New Roman" w:hAnsi="Times New Roman"/>
                <w:sz w:val="20"/>
                <w:szCs w:val="20"/>
              </w:rPr>
              <w:t xml:space="preserve"> </w:t>
            </w:r>
            <w:r>
              <w:rPr>
                <w:rFonts w:ascii="Times New Roman" w:hAnsi="Times New Roman"/>
                <w:sz w:val="20"/>
                <w:szCs w:val="20"/>
              </w:rPr>
              <w:t>в течение десяти дней с даты подписания настоящего договора.</w:t>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 xml:space="preserve"> </w:t>
            </w:r>
            <w:r>
              <w:rPr>
                <w:rFonts w:ascii="Times New Roman" w:hAnsi="Times New Roman"/>
                <w:sz w:val="20"/>
                <w:szCs w:val="20"/>
              </w:rPr>
              <w:t xml:space="preserve">ВНИМАНИЕ! В НАЗНАЧЕНИЕ ПЛАТЕЖА ПРИ ПЕРЕВОДЕ ОСНОВНОЙ СУММЫ ПО ТОРГАМ УКАЗЫВАЕТСЯ: "ФИО ДОЛЖНИКА, оплата по дкп от ... г. по имуществу ...»                                     </w:t>
            </w:r>
          </w:p>
        </w:tc>
      </w:tr>
      <w:tr>
        <w:trPr>
          <w:cantSplit w:val="true"/>
        </w:trPr>
        <w:tc>
          <w:tcPr>
            <w:tcW w:w="974"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41" w:type="dxa"/>
            <w:tcBorders/>
            <w:shd w:color="auto" w:fill="auto" w:val="clear"/>
            <w:vAlign w:val="bottom"/>
          </w:tcPr>
          <w:p>
            <w:pPr>
              <w:pStyle w:val="Normal"/>
              <w:bidi w:val="0"/>
              <w:spacing w:before="0" w:after="0"/>
              <w:jc w:val="both"/>
              <w:rPr/>
            </w:pPr>
            <w:r>
              <w:rPr/>
            </w:r>
          </w:p>
        </w:tc>
        <w:tc>
          <w:tcPr>
            <w:tcW w:w="179"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6"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53" w:type="dxa"/>
            <w:tcBorders/>
            <w:shd w:color="auto" w:fill="auto" w:val="clear"/>
            <w:vAlign w:val="bottom"/>
          </w:tcPr>
          <w:p>
            <w:pPr>
              <w:pStyle w:val="Normal"/>
              <w:bidi w:val="0"/>
              <w:spacing w:before="0" w:after="0"/>
              <w:jc w:val="both"/>
              <w:rPr/>
            </w:pPr>
            <w:r>
              <w:rPr/>
            </w:r>
          </w:p>
        </w:tc>
      </w:tr>
      <w:tr>
        <w:trPr>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4. Передача имущества и переход риска случайной гибели имущества</w:t>
            </w:r>
          </w:p>
        </w:tc>
      </w:tr>
      <w:tr>
        <w:trPr>
          <w:trHeight w:val="93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atLeast"/>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5. Возникновение права собственности</w:t>
            </w:r>
          </w:p>
        </w:tc>
      </w:tr>
      <w:tr>
        <w:trPr>
          <w:trHeight w:val="58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795" w:hRule="atLeast"/>
          <w:cantSplit w:val="true"/>
        </w:trPr>
        <w:tc>
          <w:tcPr>
            <w:tcW w:w="10663" w:type="dxa"/>
            <w:gridSpan w:val="11"/>
            <w:tcBorders/>
            <w:shd w:color="auto" w:fill="auto" w:val="clear"/>
            <w:vAlign w:val="bottom"/>
          </w:tcPr>
          <w:p>
            <w:pPr>
              <w:pStyle w:val="Normal"/>
              <w:bidi w:val="0"/>
              <w:spacing w:before="0" w:after="0"/>
              <w:jc w:val="both"/>
              <w:rPr>
                <w:rFonts w:ascii="Times New Roman" w:hAnsi="Times New Roman"/>
                <w:sz w:val="20"/>
                <w:szCs w:val="20"/>
              </w:rPr>
            </w:pPr>
            <w:r>
              <w:rPr>
                <w:rFonts w:ascii="Times New Roman" w:hAnsi="Times New Roman"/>
                <w:sz w:val="20"/>
                <w:szCs w:val="20"/>
              </w:rPr>
              <w:t>5.2. Стороны договорились, что регистрация перехода права собственности по настоящему договору может быть осуществлена в электронной форме путём направления документов в орган регистрации прав (Росреестр) через информационные системы, предусмотренные законодательством Российской Федерации.</w:t>
              <w:br/>
            </w:r>
          </w:p>
        </w:tc>
      </w:tr>
      <w:tr>
        <w:trPr>
          <w:trHeight w:val="285" w:hRule="atLeast"/>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6. Ответственность Сторон</w:t>
            </w:r>
          </w:p>
        </w:tc>
      </w:tr>
      <w:tr>
        <w:trPr>
          <w:trHeight w:val="72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6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tc>
      </w:tr>
      <w:tr>
        <w:trPr>
          <w:trHeight w:val="855" w:hRule="atLeast"/>
          <w:cantSplit w:val="true"/>
        </w:trPr>
        <w:tc>
          <w:tcPr>
            <w:tcW w:w="10663" w:type="dxa"/>
            <w:gridSpan w:val="11"/>
            <w:tcBorders/>
            <w:shd w:color="auto" w:fill="auto" w:val="clear"/>
            <w:vAlign w:val="bottom"/>
          </w:tcPr>
          <w:p>
            <w:pPr>
              <w:pStyle w:val="Normal"/>
              <w:bidi w:val="0"/>
              <w:spacing w:before="0" w:after="0"/>
              <w:jc w:val="both"/>
              <w:rPr>
                <w:rFonts w:ascii="Times New Roman" w:hAnsi="Times New Roman"/>
                <w:sz w:val="20"/>
                <w:szCs w:val="20"/>
              </w:rPr>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r>
          </w:p>
        </w:tc>
      </w:tr>
      <w:tr>
        <w:trPr>
          <w:trHeight w:val="285" w:hRule="atLeast"/>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7. Порядок разрешения споров</w:t>
            </w:r>
          </w:p>
        </w:tc>
      </w:tr>
      <w:tr>
        <w:trPr>
          <w:trHeight w:val="54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atLeast"/>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8. Условия изменения и расторжения договора</w:t>
            </w:r>
          </w:p>
        </w:tc>
      </w:tr>
      <w:tr>
        <w:trPr>
          <w:trHeight w:val="58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67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atLeast"/>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9. Заключительные положения</w:t>
            </w:r>
          </w:p>
        </w:tc>
      </w:tr>
      <w:tr>
        <w:trPr>
          <w:trHeight w:val="58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atLeast"/>
          <w:cantSplit w:val="true"/>
        </w:trPr>
        <w:tc>
          <w:tcPr>
            <w:tcW w:w="10663" w:type="dxa"/>
            <w:gridSpan w:val="11"/>
            <w:tcBorders/>
            <w:shd w:color="auto" w:fill="auto" w:val="clear"/>
            <w:vAlign w:val="bottom"/>
          </w:tcPr>
          <w:p>
            <w:pPr>
              <w:pStyle w:val="Normal"/>
              <w:bidi w:val="0"/>
              <w:spacing w:before="0" w:after="0"/>
              <w:jc w:val="both"/>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atLeast"/>
          <w:cantSplit w:val="true"/>
        </w:trPr>
        <w:tc>
          <w:tcPr>
            <w:tcW w:w="10663" w:type="dxa"/>
            <w:gridSpan w:val="11"/>
            <w:tcBorders/>
            <w:shd w:color="auto" w:fill="auto" w:val="clear"/>
            <w:vAlign w:val="bottom"/>
          </w:tcPr>
          <w:p>
            <w:pPr>
              <w:pStyle w:val="Normal"/>
              <w:bidi w:val="0"/>
              <w:spacing w:before="0" w:after="0"/>
              <w:jc w:val="center"/>
              <w:rPr/>
            </w:pPr>
            <w:r>
              <w:rPr>
                <w:rFonts w:ascii="Times New Roman" w:hAnsi="Times New Roman"/>
                <w:b/>
                <w:sz w:val="20"/>
                <w:szCs w:val="20"/>
              </w:rPr>
              <w:t>10. Реквизиты и подписи Сторон</w:t>
            </w:r>
          </w:p>
        </w:tc>
      </w:tr>
      <w:tr>
        <w:trPr>
          <w:trHeight w:val="285" w:hRule="atLeast"/>
          <w:cantSplit w:val="true"/>
        </w:trPr>
        <w:tc>
          <w:tcPr>
            <w:tcW w:w="5250" w:type="dxa"/>
            <w:gridSpan w:val="5"/>
            <w:tcBorders/>
            <w:shd w:color="auto" w:fill="auto" w:val="clear"/>
            <w:vAlign w:val="bottom"/>
          </w:tcPr>
          <w:p>
            <w:pPr>
              <w:pStyle w:val="Normal"/>
              <w:bidi w:val="0"/>
              <w:spacing w:before="0" w:after="0"/>
              <w:jc w:val="center"/>
              <w:rPr/>
            </w:pPr>
            <w:r>
              <w:rPr>
                <w:rFonts w:ascii="Times New Roman" w:hAnsi="Times New Roman"/>
                <w:b/>
                <w:sz w:val="20"/>
                <w:szCs w:val="20"/>
              </w:rPr>
              <w:t>Продавец:</w:t>
            </w:r>
          </w:p>
        </w:tc>
        <w:tc>
          <w:tcPr>
            <w:tcW w:w="5413" w:type="dxa"/>
            <w:gridSpan w:val="6"/>
            <w:tcBorders/>
            <w:shd w:color="auto" w:fill="auto" w:val="clear"/>
            <w:vAlign w:val="bottom"/>
          </w:tcPr>
          <w:p>
            <w:pPr>
              <w:pStyle w:val="Normal"/>
              <w:bidi w:val="0"/>
              <w:spacing w:before="0" w:after="0"/>
              <w:jc w:val="center"/>
              <w:rPr/>
            </w:pPr>
            <w:r>
              <w:rPr>
                <w:rFonts w:ascii="Times New Roman" w:hAnsi="Times New Roman"/>
                <w:b/>
                <w:sz w:val="20"/>
                <w:szCs w:val="20"/>
              </w:rPr>
              <w:t>Покупатель:</w:t>
            </w:r>
          </w:p>
        </w:tc>
      </w:tr>
      <w:tr>
        <w:trPr>
          <w:trHeight w:val="285" w:hRule="atLeast"/>
          <w:cantSplit w:val="true"/>
        </w:trPr>
        <w:tc>
          <w:tcPr>
            <w:tcW w:w="5250" w:type="dxa"/>
            <w:gridSpan w:val="5"/>
            <w:tcBorders/>
            <w:shd w:color="auto" w:fill="auto" w:val="clear"/>
            <w:vAlign w:val="bottom"/>
          </w:tcPr>
          <w:p>
            <w:pPr>
              <w:pStyle w:val="Normal"/>
              <w:bidi w:val="0"/>
              <w:spacing w:before="0" w:after="0"/>
              <w:jc w:val="center"/>
              <w:rPr/>
            </w:pPr>
            <w:r>
              <w:rPr>
                <w:rFonts w:ascii="Times New Roman" w:hAnsi="Times New Roman"/>
                <w:b/>
                <w:sz w:val="20"/>
                <w:szCs w:val="20"/>
              </w:rPr>
              <w:t>Гражданин РФ</w:t>
            </w:r>
          </w:p>
        </w:tc>
        <w:tc>
          <w:tcPr>
            <w:tcW w:w="5413" w:type="dxa"/>
            <w:gridSpan w:val="6"/>
            <w:tcBorders/>
            <w:shd w:color="auto" w:fill="auto" w:val="clear"/>
            <w:vAlign w:val="bottom"/>
          </w:tcPr>
          <w:p>
            <w:pPr>
              <w:pStyle w:val="Normal"/>
              <w:bidi w:val="0"/>
              <w:spacing w:before="0" w:after="0"/>
              <w:jc w:val="center"/>
              <w:rPr/>
            </w:pPr>
            <w:r>
              <w:rPr>
                <w:rFonts w:ascii="Times New Roman" w:hAnsi="Times New Roman"/>
                <w:b/>
                <w:sz w:val="20"/>
                <w:szCs w:val="20"/>
              </w:rPr>
              <w:t>Гражданин РФ</w:t>
            </w:r>
          </w:p>
        </w:tc>
      </w:tr>
      <w:tr>
        <w:trPr>
          <w:cantSplit w:val="true"/>
        </w:trPr>
        <w:tc>
          <w:tcPr>
            <w:tcW w:w="5250" w:type="dxa"/>
            <w:gridSpan w:val="5"/>
            <w:tcBorders/>
            <w:shd w:color="auto" w:fill="auto" w:val="clear"/>
            <w:vAlign w:val="bottom"/>
          </w:tcPr>
          <w:p>
            <w:pPr>
              <w:pStyle w:val="Normal"/>
              <w:bidi w:val="0"/>
              <w:spacing w:before="0" w:after="0"/>
              <w:jc w:val="both"/>
              <w:rPr/>
            </w:pPr>
            <w:r>
              <w:rPr/>
            </w:r>
          </w:p>
        </w:tc>
        <w:tc>
          <w:tcPr>
            <w:tcW w:w="179" w:type="dxa"/>
            <w:tcBorders/>
            <w:shd w:color="auto" w:fill="auto" w:val="clear"/>
          </w:tcPr>
          <w:p>
            <w:pPr>
              <w:pStyle w:val="Normal"/>
              <w:bidi w:val="0"/>
              <w:spacing w:before="0" w:after="0"/>
              <w:jc w:val="both"/>
              <w:rPr/>
            </w:pPr>
            <w:r>
              <w:rPr/>
            </w:r>
          </w:p>
        </w:tc>
        <w:tc>
          <w:tcPr>
            <w:tcW w:w="5234" w:type="dxa"/>
            <w:gridSpan w:val="5"/>
            <w:tcBorders/>
            <w:shd w:color="auto" w:fill="auto" w:val="clear"/>
          </w:tcPr>
          <w:p>
            <w:pPr>
              <w:pStyle w:val="Normal"/>
              <w:bidi w:val="0"/>
              <w:spacing w:before="0" w:after="0"/>
              <w:jc w:val="both"/>
              <w:rPr/>
            </w:pPr>
            <w:r>
              <w:rPr>
                <w:rFonts w:ascii="Times New Roman" w:hAnsi="Times New Roman"/>
                <w:b/>
                <w:sz w:val="20"/>
                <w:szCs w:val="20"/>
              </w:rPr>
              <w:t xml:space="preserve"> </w:t>
            </w:r>
          </w:p>
        </w:tc>
      </w:tr>
      <w:tr>
        <w:trPr>
          <w:cantSplit w:val="true"/>
        </w:trPr>
        <w:tc>
          <w:tcPr>
            <w:tcW w:w="5250" w:type="dxa"/>
            <w:gridSpan w:val="5"/>
            <w:tcBorders/>
            <w:shd w:color="auto" w:fill="auto" w:val="clear"/>
            <w:vAlign w:val="bottom"/>
          </w:tcPr>
          <w:p>
            <w:pPr>
              <w:pStyle w:val="Normal"/>
              <w:bidi w:val="0"/>
              <w:spacing w:before="0" w:after="0"/>
              <w:jc w:val="both"/>
              <w:rPr/>
            </w:pPr>
            <w:r>
              <w:rPr>
                <w:rFonts w:ascii="Times New Roman" w:hAnsi="Times New Roman"/>
                <w:sz w:val="20"/>
                <w:szCs w:val="20"/>
              </w:rPr>
              <w:t>Реквизиты:</w:t>
            </w:r>
          </w:p>
        </w:tc>
        <w:tc>
          <w:tcPr>
            <w:tcW w:w="179"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6"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1453" w:type="dxa"/>
            <w:tcBorders/>
            <w:shd w:color="auto" w:fill="auto" w:val="clear"/>
          </w:tcPr>
          <w:p>
            <w:pPr>
              <w:pStyle w:val="Normal"/>
              <w:bidi w:val="0"/>
              <w:spacing w:before="0" w:after="0"/>
              <w:jc w:val="both"/>
              <w:rPr/>
            </w:pPr>
            <w:r>
              <w:rPr/>
            </w:r>
          </w:p>
        </w:tc>
      </w:tr>
      <w:tr>
        <w:trPr>
          <w:cantSplit w:val="true"/>
        </w:trPr>
        <w:tc>
          <w:tcPr>
            <w:tcW w:w="5250" w:type="dxa"/>
            <w:gridSpan w:val="5"/>
            <w:tcBorders/>
            <w:shd w:color="auto" w:fill="auto" w:val="clear"/>
            <w:vAlign w:val="bottom"/>
          </w:tcPr>
          <w:p>
            <w:pPr>
              <w:pStyle w:val="Normal"/>
              <w:bidi w:val="0"/>
              <w:spacing w:before="0" w:after="0"/>
              <w:jc w:val="both"/>
              <w:rPr/>
            </w:pPr>
            <w:r>
              <w:rPr/>
            </w:r>
          </w:p>
        </w:tc>
        <w:tc>
          <w:tcPr>
            <w:tcW w:w="179"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6"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1453" w:type="dxa"/>
            <w:tcBorders/>
            <w:shd w:color="auto" w:fill="auto" w:val="clear"/>
          </w:tcPr>
          <w:p>
            <w:pPr>
              <w:pStyle w:val="Normal"/>
              <w:bidi w:val="0"/>
              <w:spacing w:before="0" w:after="0"/>
              <w:jc w:val="both"/>
              <w:rPr/>
            </w:pPr>
            <w:r>
              <w:rPr/>
            </w:r>
          </w:p>
        </w:tc>
      </w:tr>
      <w:tr>
        <w:trPr>
          <w:cantSplit w:val="true"/>
        </w:trPr>
        <w:tc>
          <w:tcPr>
            <w:tcW w:w="5250" w:type="dxa"/>
            <w:gridSpan w:val="5"/>
            <w:tcBorders/>
            <w:shd w:color="auto" w:fill="auto" w:val="clear"/>
            <w:vAlign w:val="bottom"/>
          </w:tcPr>
          <w:p>
            <w:pPr>
              <w:pStyle w:val="Normal"/>
              <w:bidi w:val="0"/>
              <w:spacing w:before="0" w:after="0"/>
              <w:jc w:val="both"/>
              <w:rPr/>
            </w:pPr>
            <w:r>
              <w:rPr/>
            </w:r>
          </w:p>
        </w:tc>
        <w:tc>
          <w:tcPr>
            <w:tcW w:w="179"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6"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1453" w:type="dxa"/>
            <w:tcBorders/>
            <w:shd w:color="auto" w:fill="auto" w:val="clear"/>
          </w:tcPr>
          <w:p>
            <w:pPr>
              <w:pStyle w:val="Normal"/>
              <w:bidi w:val="0"/>
              <w:spacing w:before="0" w:after="0"/>
              <w:jc w:val="both"/>
              <w:rPr/>
            </w:pPr>
            <w:r>
              <w:rPr/>
            </w:r>
          </w:p>
        </w:tc>
      </w:tr>
      <w:tr>
        <w:trPr>
          <w:cantSplit w:val="true"/>
        </w:trPr>
        <w:tc>
          <w:tcPr>
            <w:tcW w:w="974"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41" w:type="dxa"/>
            <w:tcBorders/>
            <w:shd w:color="auto" w:fill="auto" w:val="clear"/>
            <w:vAlign w:val="bottom"/>
          </w:tcPr>
          <w:p>
            <w:pPr>
              <w:pStyle w:val="Normal"/>
              <w:bidi w:val="0"/>
              <w:spacing w:before="0" w:after="0"/>
              <w:jc w:val="both"/>
              <w:rPr/>
            </w:pPr>
            <w:r>
              <w:rPr/>
            </w:r>
          </w:p>
        </w:tc>
        <w:tc>
          <w:tcPr>
            <w:tcW w:w="179"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6"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1453" w:type="dxa"/>
            <w:tcBorders/>
            <w:shd w:color="auto" w:fill="auto" w:val="clear"/>
          </w:tcPr>
          <w:p>
            <w:pPr>
              <w:pStyle w:val="Normal"/>
              <w:bidi w:val="0"/>
              <w:spacing w:before="0" w:after="0"/>
              <w:jc w:val="both"/>
              <w:rPr/>
            </w:pPr>
            <w:r>
              <w:rPr/>
            </w:r>
          </w:p>
        </w:tc>
      </w:tr>
      <w:tr>
        <w:trPr>
          <w:cantSplit w:val="true"/>
        </w:trPr>
        <w:tc>
          <w:tcPr>
            <w:tcW w:w="5250" w:type="dxa"/>
            <w:gridSpan w:val="5"/>
            <w:tcBorders/>
            <w:shd w:color="auto" w:fill="auto" w:val="clear"/>
            <w:vAlign w:val="bottom"/>
          </w:tcPr>
          <w:p>
            <w:pPr>
              <w:pStyle w:val="Normal"/>
              <w:bidi w:val="0"/>
              <w:spacing w:before="0" w:after="0"/>
              <w:jc w:val="both"/>
              <w:rPr/>
            </w:pPr>
            <w:r>
              <w:rPr>
                <w:rFonts w:ascii="Times New Roman" w:hAnsi="Times New Roman"/>
                <w:b/>
                <w:sz w:val="20"/>
                <w:szCs w:val="20"/>
              </w:rPr>
              <w:t>Финансовый управляющий</w:t>
            </w:r>
          </w:p>
        </w:tc>
        <w:tc>
          <w:tcPr>
            <w:tcW w:w="179"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6"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945" w:type="dxa"/>
            <w:tcBorders/>
            <w:shd w:color="auto" w:fill="auto" w:val="clear"/>
          </w:tcPr>
          <w:p>
            <w:pPr>
              <w:pStyle w:val="Normal"/>
              <w:bidi w:val="0"/>
              <w:spacing w:before="0" w:after="0"/>
              <w:jc w:val="both"/>
              <w:rPr/>
            </w:pPr>
            <w:r>
              <w:rPr/>
            </w:r>
          </w:p>
        </w:tc>
        <w:tc>
          <w:tcPr>
            <w:tcW w:w="1453" w:type="dxa"/>
            <w:tcBorders/>
            <w:shd w:color="auto" w:fill="auto" w:val="clear"/>
          </w:tcPr>
          <w:p>
            <w:pPr>
              <w:pStyle w:val="Normal"/>
              <w:bidi w:val="0"/>
              <w:spacing w:before="0" w:after="0"/>
              <w:jc w:val="both"/>
              <w:rPr/>
            </w:pPr>
            <w:r>
              <w:rPr/>
            </w:r>
          </w:p>
        </w:tc>
      </w:tr>
      <w:tr>
        <w:trPr>
          <w:cantSplit w:val="true"/>
        </w:trPr>
        <w:tc>
          <w:tcPr>
            <w:tcW w:w="5250" w:type="dxa"/>
            <w:gridSpan w:val="5"/>
            <w:tcBorders/>
            <w:shd w:color="auto" w:fill="auto" w:val="clear"/>
            <w:vAlign w:val="bottom"/>
          </w:tcPr>
          <w:p>
            <w:pPr>
              <w:pStyle w:val="Normal"/>
              <w:bidi w:val="0"/>
              <w:spacing w:before="0" w:after="0"/>
              <w:jc w:val="both"/>
              <w:rPr/>
            </w:pPr>
            <w:r>
              <w:rPr/>
            </w:r>
          </w:p>
        </w:tc>
        <w:tc>
          <w:tcPr>
            <w:tcW w:w="179"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6"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53" w:type="dxa"/>
            <w:tcBorders/>
            <w:shd w:color="auto" w:fill="auto" w:val="clear"/>
            <w:vAlign w:val="bottom"/>
          </w:tcPr>
          <w:p>
            <w:pPr>
              <w:pStyle w:val="Normal"/>
              <w:bidi w:val="0"/>
              <w:spacing w:before="0" w:after="0"/>
              <w:jc w:val="both"/>
              <w:rPr/>
            </w:pPr>
            <w:r>
              <w:rPr/>
            </w:r>
          </w:p>
        </w:tc>
      </w:tr>
      <w:tr>
        <w:trPr>
          <w:cantSplit w:val="true"/>
        </w:trPr>
        <w:tc>
          <w:tcPr>
            <w:tcW w:w="974"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41" w:type="dxa"/>
            <w:tcBorders/>
            <w:shd w:color="auto" w:fill="auto" w:val="clear"/>
            <w:vAlign w:val="bottom"/>
          </w:tcPr>
          <w:p>
            <w:pPr>
              <w:pStyle w:val="Normal"/>
              <w:bidi w:val="0"/>
              <w:spacing w:before="0" w:after="0"/>
              <w:jc w:val="both"/>
              <w:rPr/>
            </w:pPr>
            <w:r>
              <w:rPr/>
            </w:r>
          </w:p>
        </w:tc>
        <w:tc>
          <w:tcPr>
            <w:tcW w:w="179"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6"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945" w:type="dxa"/>
            <w:tcBorders/>
            <w:shd w:color="auto" w:fill="auto" w:val="clear"/>
            <w:vAlign w:val="bottom"/>
          </w:tcPr>
          <w:p>
            <w:pPr>
              <w:pStyle w:val="Normal"/>
              <w:bidi w:val="0"/>
              <w:spacing w:before="0" w:after="0"/>
              <w:jc w:val="both"/>
              <w:rPr/>
            </w:pPr>
            <w:r>
              <w:rPr/>
            </w:r>
          </w:p>
        </w:tc>
        <w:tc>
          <w:tcPr>
            <w:tcW w:w="1453" w:type="dxa"/>
            <w:tcBorders/>
            <w:shd w:color="auto" w:fill="auto" w:val="clear"/>
            <w:vAlign w:val="bottom"/>
          </w:tcPr>
          <w:p>
            <w:pPr>
              <w:pStyle w:val="Normal"/>
              <w:bidi w:val="0"/>
              <w:spacing w:before="0" w:after="0"/>
              <w:jc w:val="both"/>
              <w:rPr/>
            </w:pPr>
            <w:r>
              <w:rPr/>
            </w:r>
          </w:p>
        </w:tc>
      </w:tr>
      <w:tr>
        <w:trPr>
          <w:trHeight w:val="360" w:hRule="atLeast"/>
          <w:cantSplit w:val="true"/>
        </w:trPr>
        <w:tc>
          <w:tcPr>
            <w:tcW w:w="5250" w:type="dxa"/>
            <w:gridSpan w:val="5"/>
            <w:tcBorders/>
            <w:shd w:color="auto" w:fill="auto" w:val="clear"/>
            <w:vAlign w:val="bottom"/>
          </w:tcPr>
          <w:p>
            <w:pPr>
              <w:pStyle w:val="Normal"/>
              <w:bidi w:val="0"/>
              <w:spacing w:before="0" w:after="0"/>
              <w:jc w:val="both"/>
              <w:rPr/>
            </w:pPr>
            <w:r>
              <w:rPr/>
            </w:r>
          </w:p>
        </w:tc>
        <w:tc>
          <w:tcPr>
            <w:tcW w:w="179" w:type="dxa"/>
            <w:tcBorders/>
            <w:shd w:color="auto" w:fill="auto" w:val="clear"/>
            <w:vAlign w:val="bottom"/>
          </w:tcPr>
          <w:p>
            <w:pPr>
              <w:pStyle w:val="Normal"/>
              <w:bidi w:val="0"/>
              <w:spacing w:before="0" w:after="0"/>
              <w:jc w:val="both"/>
              <w:rPr/>
            </w:pPr>
            <w:r>
              <w:rPr/>
            </w:r>
          </w:p>
        </w:tc>
        <w:tc>
          <w:tcPr>
            <w:tcW w:w="5234" w:type="dxa"/>
            <w:gridSpan w:val="5"/>
            <w:tcBorders/>
            <w:shd w:color="auto" w:fill="auto" w:val="clear"/>
            <w:vAlign w:val="bottom"/>
          </w:tcPr>
          <w:p>
            <w:pPr>
              <w:pStyle w:val="Normal"/>
              <w:bidi w:val="0"/>
              <w:spacing w:before="0" w:after="0"/>
              <w:jc w:val="both"/>
              <w:rPr/>
            </w:pPr>
            <w:r>
              <w:rPr>
                <w:rFonts w:ascii="Times New Roman" w:hAnsi="Times New Roman"/>
                <w:b/>
                <w:sz w:val="20"/>
                <w:szCs w:val="20"/>
              </w:rPr>
              <w:t xml:space="preserve"> </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3</Pages>
  <Words>1037</Words>
  <Characters>7358</Characters>
  <CharactersWithSpaces>8389</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2026-02-22T13:37:54Z</dcterms:modified>
  <cp:revision>1</cp:revision>
  <dc:subject/>
  <dc:title/>
</cp:coreProperties>
</file>