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0F6917" w:rsidRDefault="00F94D81" w:rsidP="00F94D81">
      <w:pPr>
        <w:jc w:val="center"/>
        <w:rPr>
          <w:b/>
          <w:bCs/>
        </w:rPr>
      </w:pPr>
    </w:p>
    <w:p w14:paraId="0F1F1053" w14:textId="442128FB"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C014B6">
        <w:rPr>
          <w:b/>
          <w:bCs/>
        </w:rPr>
        <w:t>07 мая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359B2467" w:rsidR="00590530" w:rsidRPr="004A778E" w:rsidRDefault="00590530" w:rsidP="00590530">
      <w:pPr>
        <w:suppressAutoHyphens/>
        <w:jc w:val="center"/>
        <w:rPr>
          <w:b/>
          <w:bCs/>
        </w:rPr>
      </w:pPr>
      <w:r w:rsidRPr="004A778E">
        <w:rPr>
          <w:b/>
          <w:bCs/>
        </w:rPr>
        <w:t xml:space="preserve">Прием заявок с </w:t>
      </w:r>
      <w:r w:rsidR="00C014B6">
        <w:rPr>
          <w:b/>
          <w:bCs/>
        </w:rPr>
        <w:t>07.04</w:t>
      </w:r>
      <w:r w:rsidR="006C49EA">
        <w:rPr>
          <w:b/>
          <w:bCs/>
        </w:rPr>
        <w:t>.2026</w:t>
      </w:r>
      <w:r w:rsidRPr="004A778E">
        <w:rPr>
          <w:b/>
          <w:bCs/>
        </w:rPr>
        <w:t xml:space="preserve"> по</w:t>
      </w:r>
      <w:r w:rsidR="00BC6C60" w:rsidRPr="004A778E">
        <w:rPr>
          <w:b/>
          <w:bCs/>
        </w:rPr>
        <w:t xml:space="preserve"> </w:t>
      </w:r>
      <w:r w:rsidR="00C014B6">
        <w:rPr>
          <w:b/>
          <w:bCs/>
        </w:rPr>
        <w:t>05.05</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496EE937"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C014B6">
        <w:rPr>
          <w:b/>
          <w:bCs/>
        </w:rPr>
        <w:t>05.05</w:t>
      </w:r>
      <w:r w:rsidR="006C49EA">
        <w:rPr>
          <w:b/>
          <w:bCs/>
        </w:rPr>
        <w:t>.2026</w:t>
      </w:r>
      <w:r w:rsidRPr="004A778E">
        <w:rPr>
          <w:b/>
          <w:bCs/>
        </w:rPr>
        <w:t>.</w:t>
      </w:r>
    </w:p>
    <w:p w14:paraId="5F599D7E" w14:textId="55DE7E62"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C014B6">
        <w:rPr>
          <w:b/>
          <w:bCs/>
        </w:rPr>
        <w:t>06.05</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Pr="007E660A" w:rsidRDefault="001D2E9E" w:rsidP="001D2E9E">
      <w:pPr>
        <w:autoSpaceDE w:val="0"/>
        <w:autoSpaceDN w:val="0"/>
        <w:ind w:firstLine="720"/>
        <w:jc w:val="both"/>
        <w:outlineLvl w:val="0"/>
        <w:rPr>
          <w:sz w:val="10"/>
          <w:szCs w:val="10"/>
        </w:rPr>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623DDD" w:rsidRDefault="006C49EA" w:rsidP="001D2E9E">
      <w:pPr>
        <w:autoSpaceDE w:val="0"/>
        <w:autoSpaceDN w:val="0"/>
        <w:ind w:firstLine="720"/>
        <w:jc w:val="both"/>
        <w:outlineLvl w:val="0"/>
        <w:rPr>
          <w:sz w:val="10"/>
          <w:szCs w:val="10"/>
        </w:rPr>
      </w:pPr>
    </w:p>
    <w:p w14:paraId="0064C872" w14:textId="5B1FE8BF" w:rsidR="00186489" w:rsidRPr="00EF20FE" w:rsidRDefault="00186489" w:rsidP="006C49EA">
      <w:pPr>
        <w:ind w:right="-57"/>
        <w:jc w:val="both"/>
      </w:pPr>
      <w:r w:rsidRPr="006C2347">
        <w:rPr>
          <w:b/>
          <w:u w:val="single"/>
        </w:rPr>
        <w:t>Лот 1:</w:t>
      </w:r>
      <w:bookmarkStart w:id="0" w:name="_Hlk192855778"/>
      <w:r w:rsidR="006C49EA" w:rsidRPr="006C2347">
        <w:rPr>
          <w:b/>
        </w:rPr>
        <w:t xml:space="preserve"> </w:t>
      </w:r>
      <w:r w:rsidR="00623DDD" w:rsidRPr="006C2347">
        <w:t xml:space="preserve">Часть нежилого помещения, назначение: нежилое, кадастровый номер 63:09:0101170:10541,  общей площадью 7 812,8 кв. м, номер, тип этажа, на котором расположено помещение: </w:t>
      </w:r>
      <w:r w:rsidR="000B5374" w:rsidRPr="006C2347">
        <w:t xml:space="preserve"> Этаж № - 1</w:t>
      </w:r>
      <w:r w:rsidR="00623DDD" w:rsidRPr="006C2347">
        <w:t xml:space="preserve">, Этаж №1, Этаж № 2, Этаж № 3, Технический этаж № 3, Этаж № 4, Этаж № 5, Этаж № 6, Этаж № 7, Технический этаж № 8, расположенного по адресу: Самарская область, г. Тольятти, Автозаводский район, ул. Юбилейная, д. 55. В аренду передаются нежилые помещения общей площадью 726,6 кв. м </w:t>
      </w:r>
      <w:r w:rsidR="00FB084D" w:rsidRPr="006C2347">
        <w:t xml:space="preserve">с номерами на поэтажном плане №№ 36, 37, 38, 39, 40, 41, 42, 44, 48, 49, 57, </w:t>
      </w:r>
      <w:r w:rsidR="00623DDD" w:rsidRPr="006C2347">
        <w:t xml:space="preserve">расположенные </w:t>
      </w:r>
      <w:r w:rsidR="00C03BD1" w:rsidRPr="006C2347">
        <w:t xml:space="preserve">на Этаже № - 1 </w:t>
      </w:r>
      <w:r w:rsidRPr="006C2347">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B307749" w:rsidR="00186489" w:rsidRDefault="00186489" w:rsidP="00186489">
      <w:pPr>
        <w:autoSpaceDE w:val="0"/>
        <w:autoSpaceDN w:val="0"/>
        <w:ind w:firstLine="720"/>
        <w:jc w:val="both"/>
        <w:outlineLvl w:val="0"/>
      </w:pPr>
      <w:r w:rsidRPr="005614EB">
        <w:t xml:space="preserve">Срок аренды: </w:t>
      </w:r>
      <w:r w:rsidR="005A789D" w:rsidRPr="005A789D">
        <w:t>5 (</w:t>
      </w:r>
      <w:r w:rsidR="005A789D">
        <w:t>пять</w:t>
      </w:r>
      <w:r w:rsidR="00B65684" w:rsidRPr="00B65684">
        <w:t xml:space="preserve">) </w:t>
      </w:r>
      <w:r w:rsidR="005A789D">
        <w:t>лет</w:t>
      </w:r>
      <w:r w:rsidR="00B65684" w:rsidRPr="00B65684">
        <w:t xml:space="preserve"> </w:t>
      </w:r>
      <w:r w:rsidRPr="005614EB">
        <w:t>с даты подписания акта приема-передачи Объект</w:t>
      </w:r>
      <w:r w:rsidR="00A04056">
        <w:t>а</w:t>
      </w:r>
      <w:r w:rsidRPr="005614EB">
        <w:t>.</w:t>
      </w:r>
    </w:p>
    <w:p w14:paraId="2D8CF8B6" w14:textId="77777777" w:rsidR="008C1248" w:rsidRPr="00F018E0" w:rsidRDefault="008C1248" w:rsidP="008C1248">
      <w:pPr>
        <w:autoSpaceDE w:val="0"/>
        <w:autoSpaceDN w:val="0"/>
        <w:ind w:firstLine="720"/>
        <w:jc w:val="both"/>
        <w:outlineLvl w:val="0"/>
        <w:rPr>
          <w:b/>
          <w:bCs/>
          <w:sz w:val="10"/>
          <w:szCs w:val="10"/>
        </w:rPr>
      </w:pPr>
    </w:p>
    <w:p w14:paraId="3C0ACDFB" w14:textId="521BE49B" w:rsidR="00623DDD" w:rsidRDefault="00623DDD" w:rsidP="00623DDD">
      <w:pPr>
        <w:pStyle w:val="af1"/>
        <w:jc w:val="both"/>
      </w:pPr>
      <w:bookmarkStart w:id="1" w:name="_Hlk124271753"/>
      <w:bookmarkStart w:id="2" w:name="_Hlk124271794"/>
      <w:r>
        <w:rPr>
          <w:b/>
          <w:bCs/>
        </w:rPr>
        <w:t>Существенное условие</w:t>
      </w:r>
      <w:r w:rsidRPr="00C75D92">
        <w:rPr>
          <w:b/>
          <w:bCs/>
        </w:rPr>
        <w:t>:</w:t>
      </w:r>
      <w:r w:rsidRPr="00C75D92">
        <w:t xml:space="preserve"> </w:t>
      </w:r>
      <w:r>
        <w:t>в случае выявлении Арендодателем ведения Арендатором деятельности по следующим направлениям:</w:t>
      </w:r>
    </w:p>
    <w:p w14:paraId="058CD7E6" w14:textId="77777777" w:rsidR="00623DDD" w:rsidRDefault="00623DDD" w:rsidP="00623DDD">
      <w:pPr>
        <w:pStyle w:val="af1"/>
        <w:jc w:val="both"/>
      </w:pPr>
      <w:r>
        <w:t xml:space="preserve">- микрофинансовые организации; </w:t>
      </w:r>
    </w:p>
    <w:p w14:paraId="07435180" w14:textId="77777777" w:rsidR="00623DDD" w:rsidRDefault="00623DDD" w:rsidP="00623DDD">
      <w:pPr>
        <w:pStyle w:val="af1"/>
        <w:jc w:val="both"/>
      </w:pPr>
      <w:r>
        <w:t xml:space="preserve">- кредитные кооперативы; </w:t>
      </w:r>
    </w:p>
    <w:p w14:paraId="3C9A3ECB" w14:textId="77777777" w:rsidR="00623DDD" w:rsidRDefault="00623DDD" w:rsidP="00623DDD">
      <w:pPr>
        <w:pStyle w:val="af1"/>
        <w:jc w:val="both"/>
      </w:pPr>
      <w:r>
        <w:t xml:space="preserve">- ломбард и иные финансовые организации; </w:t>
      </w:r>
    </w:p>
    <w:p w14:paraId="0467BA6E" w14:textId="77777777" w:rsidR="00623DDD" w:rsidRDefault="00623DDD" w:rsidP="00623DDD">
      <w:pPr>
        <w:pStyle w:val="af1"/>
        <w:jc w:val="both"/>
      </w:pPr>
      <w:r>
        <w:t xml:space="preserve">- точки по продаже табачных изделий; </w:t>
      </w:r>
    </w:p>
    <w:p w14:paraId="1A67C8C8" w14:textId="77777777" w:rsidR="00623DDD" w:rsidRDefault="00623DDD" w:rsidP="00623DDD">
      <w:pPr>
        <w:pStyle w:val="af1"/>
        <w:jc w:val="both"/>
      </w:pPr>
      <w:r>
        <w:t xml:space="preserve">- кальянные, вейп-шопы; </w:t>
      </w:r>
    </w:p>
    <w:p w14:paraId="1A8E6AB0" w14:textId="77777777" w:rsidR="00623DDD" w:rsidRDefault="00623DDD" w:rsidP="00623DDD">
      <w:pPr>
        <w:pStyle w:val="af1"/>
        <w:jc w:val="both"/>
      </w:pPr>
      <w:r>
        <w:t xml:space="preserve">- магазины интимных товаров; </w:t>
      </w:r>
    </w:p>
    <w:p w14:paraId="649FA718" w14:textId="77777777" w:rsidR="00623DDD" w:rsidRDefault="00623DDD" w:rsidP="00623DDD">
      <w:pPr>
        <w:pStyle w:val="af1"/>
        <w:jc w:val="both"/>
      </w:pPr>
      <w:r>
        <w:t>- представители оккультизма, эзотерики, нумерологии, хиромантии, нетрадиционной медицины;</w:t>
      </w:r>
    </w:p>
    <w:p w14:paraId="5BDA36A8" w14:textId="77777777" w:rsidR="00623DDD" w:rsidRDefault="00623DDD" w:rsidP="00623DDD">
      <w:pPr>
        <w:pStyle w:val="af1"/>
        <w:jc w:val="both"/>
      </w:pPr>
      <w:r>
        <w:t xml:space="preserve">- «тренинги личностного роста» и «бизнес-тренингов»; </w:t>
      </w:r>
    </w:p>
    <w:p w14:paraId="5D6FBD4C" w14:textId="77777777" w:rsidR="00623DDD" w:rsidRDefault="00623DDD" w:rsidP="00623DDD">
      <w:pPr>
        <w:pStyle w:val="af1"/>
        <w:jc w:val="both"/>
      </w:pPr>
      <w:r>
        <w:t xml:space="preserve">- точки по продаже разливного алкоголя; </w:t>
      </w:r>
    </w:p>
    <w:p w14:paraId="22BDE687" w14:textId="77777777" w:rsidR="00623DDD" w:rsidRDefault="00623DDD" w:rsidP="00623DDD">
      <w:pPr>
        <w:pStyle w:val="af1"/>
        <w:jc w:val="both"/>
      </w:pPr>
      <w:r>
        <w:t xml:space="preserve">- продажа оружия; </w:t>
      </w:r>
    </w:p>
    <w:p w14:paraId="6A417B51" w14:textId="7FF52442" w:rsidR="00623DDD" w:rsidRDefault="00623DDD" w:rsidP="00623DDD">
      <w:pPr>
        <w:pStyle w:val="af1"/>
        <w:jc w:val="both"/>
      </w:pPr>
      <w:r>
        <w:t xml:space="preserve">- ведение игорного бизнеса, Арендодатель вправе в одностороннем внесудебном порядке отказаться от договора аренды (исполнения договора аренды) и досрочно расторгнуть договор аренды </w:t>
      </w:r>
      <w:r w:rsidR="00FB4ABD" w:rsidRPr="00FB4ABD">
        <w:t xml:space="preserve">c уведомлением Арендатора в срок не позднее чем за 30 (тридцать) календарных дней до предполагаемой даты </w:t>
      </w:r>
      <w:r w:rsidR="00FB4ABD" w:rsidRPr="004E7366">
        <w:t>расторжения</w:t>
      </w:r>
      <w:r w:rsidR="00A075CA" w:rsidRPr="004E7366">
        <w:t>, с произведением Сторонами взаиморасчетов на основании договора аренды, без возмещения каких-либо убытков Арендатору, связанных с досрочным прекращением договора аренды</w:t>
      </w:r>
      <w:r w:rsidRPr="004E7366">
        <w:t>.</w:t>
      </w:r>
    </w:p>
    <w:p w14:paraId="7D8809AA" w14:textId="77777777" w:rsidR="00623DDD" w:rsidRPr="001137AE" w:rsidRDefault="00623DDD" w:rsidP="00623DDD">
      <w:pPr>
        <w:pStyle w:val="af1"/>
        <w:jc w:val="both"/>
        <w:rPr>
          <w:sz w:val="10"/>
          <w:szCs w:val="10"/>
        </w:rPr>
      </w:pPr>
    </w:p>
    <w:p w14:paraId="3F478F5D" w14:textId="4D26D915" w:rsidR="00186489" w:rsidRPr="005614EB" w:rsidRDefault="00186489" w:rsidP="00B97498">
      <w:pPr>
        <w:pStyle w:val="af1"/>
        <w:jc w:val="both"/>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64106CB1" w:rsidR="00186489" w:rsidRPr="005614EB" w:rsidRDefault="00C014B6" w:rsidP="00186489">
      <w:pPr>
        <w:ind w:right="-57"/>
        <w:jc w:val="center"/>
        <w:rPr>
          <w:b/>
        </w:rPr>
      </w:pPr>
      <w:r w:rsidRPr="00C014B6">
        <w:rPr>
          <w:b/>
        </w:rPr>
        <w:t>77</w:t>
      </w:r>
      <w:r>
        <w:rPr>
          <w:b/>
        </w:rPr>
        <w:t> </w:t>
      </w:r>
      <w:r w:rsidRPr="00C014B6">
        <w:rPr>
          <w:b/>
        </w:rPr>
        <w:t>320</w:t>
      </w:r>
      <w:r>
        <w:rPr>
          <w:b/>
        </w:rPr>
        <w:t xml:space="preserve"> </w:t>
      </w:r>
      <w:r w:rsidR="00186489" w:rsidRPr="005614EB">
        <w:rPr>
          <w:b/>
        </w:rPr>
        <w:t>руб</w:t>
      </w:r>
      <w:r w:rsidR="00186489">
        <w:rPr>
          <w:b/>
        </w:rPr>
        <w:t>л</w:t>
      </w:r>
      <w:r w:rsidR="00623DDD">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231ED04C" w14:textId="044B4C55" w:rsidR="00186489" w:rsidRPr="005614EB" w:rsidRDefault="00186489" w:rsidP="00186489">
      <w:pPr>
        <w:ind w:right="-57"/>
        <w:jc w:val="center"/>
        <w:rPr>
          <w:b/>
        </w:rPr>
      </w:pPr>
      <w:r w:rsidRPr="005614EB">
        <w:rPr>
          <w:b/>
        </w:rPr>
        <w:t xml:space="preserve">Сумма задатка – </w:t>
      </w:r>
      <w:r w:rsidR="00C014B6" w:rsidRPr="00C014B6">
        <w:rPr>
          <w:b/>
        </w:rPr>
        <w:t>77</w:t>
      </w:r>
      <w:r w:rsidR="00C014B6">
        <w:rPr>
          <w:b/>
        </w:rPr>
        <w:t> </w:t>
      </w:r>
      <w:r w:rsidR="00C014B6" w:rsidRPr="00C014B6">
        <w:rPr>
          <w:b/>
        </w:rPr>
        <w:t>320</w:t>
      </w:r>
      <w:r w:rsidR="00C014B6">
        <w:rPr>
          <w:b/>
        </w:rPr>
        <w:t xml:space="preserve"> </w:t>
      </w:r>
      <w:r w:rsidRPr="00580273">
        <w:rPr>
          <w:b/>
        </w:rPr>
        <w:t>рубл</w:t>
      </w:r>
      <w:r w:rsidR="00623DDD">
        <w:rPr>
          <w:b/>
        </w:rPr>
        <w:t>ей</w:t>
      </w:r>
      <w:r w:rsidRPr="00580273">
        <w:rPr>
          <w:b/>
        </w:rPr>
        <w:t xml:space="preserve"> 00 копеек</w:t>
      </w:r>
      <w:r>
        <w:rPr>
          <w:b/>
        </w:rPr>
        <w:t>.</w:t>
      </w:r>
    </w:p>
    <w:p w14:paraId="7029C428" w14:textId="3FB214E3"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C014B6" w:rsidRPr="00C014B6">
        <w:rPr>
          <w:b/>
        </w:rPr>
        <w:t xml:space="preserve">7 732 </w:t>
      </w:r>
      <w:r w:rsidRPr="00DA3288">
        <w:rPr>
          <w:b/>
        </w:rPr>
        <w:t>руб</w:t>
      </w:r>
      <w:r>
        <w:rPr>
          <w:b/>
        </w:rPr>
        <w:t>л</w:t>
      </w:r>
      <w:r w:rsidR="00623DDD">
        <w:rPr>
          <w:b/>
        </w:rPr>
        <w:t>я</w:t>
      </w:r>
      <w:r w:rsidRPr="00DA3288">
        <w:rPr>
          <w:b/>
        </w:rPr>
        <w:t xml:space="preserve"> </w:t>
      </w:r>
      <w:r w:rsidR="00623DDD">
        <w:rPr>
          <w:b/>
        </w:rPr>
        <w:t>0</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5AA2D09C" w14:textId="5AFB5A78"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623DDD">
        <w:t>,</w:t>
      </w:r>
      <w:r w:rsidR="00623DDD" w:rsidRPr="00623DDD">
        <w:t xml:space="preserve"> кроме следующего ограничения (обременения): Объект передается в аренду после произведённых </w:t>
      </w:r>
      <w:r w:rsidR="00623DDD">
        <w:t>Арендодателем</w:t>
      </w:r>
      <w:r w:rsidR="00623DDD" w:rsidRPr="00623DDD">
        <w:t xml:space="preserve"> неотделимых улучшений (перепланировки) и до оформления </w:t>
      </w:r>
      <w:r w:rsidR="00623DDD">
        <w:t>Арендодател</w:t>
      </w:r>
      <w:r w:rsidR="00623DDD" w:rsidRPr="00623DDD">
        <w:t xml:space="preserve">ем соответствующей технической документации на Объект. Планы Объекта до и после проведения неотделимых улучшений (перепланировки) </w:t>
      </w:r>
      <w:r w:rsidR="00623DDD">
        <w:t xml:space="preserve">размещены </w:t>
      </w:r>
      <w:r w:rsidR="00623DDD" w:rsidRPr="00623DDD">
        <w:t>на сайте www.lot-online.ru в разделе «карточка лота».</w:t>
      </w:r>
    </w:p>
    <w:p w14:paraId="3329D47A" w14:textId="77777777" w:rsidR="00590530" w:rsidRDefault="00EB1696" w:rsidP="00EB1696">
      <w:pPr>
        <w:widowControl w:val="0"/>
        <w:jc w:val="center"/>
        <w:rPr>
          <w:b/>
        </w:rPr>
      </w:pPr>
      <w:r w:rsidRPr="00EB1696">
        <w:rPr>
          <w:b/>
        </w:rPr>
        <w:lastRenderedPageBreak/>
        <w:t>Телефоны для справок: 8 (800) 777-57-57, +7 (967)246-44-29, +7 (927)208-21-43.</w:t>
      </w:r>
    </w:p>
    <w:p w14:paraId="4D794830" w14:textId="36E40076"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CC548C">
          <w:fldChar w:fldCharType="begin"/>
        </w:r>
        <w:r w:rsidRPr="00CC548C">
          <w:instrText xml:space="preserve"> HYPERLINK "https://sales.lot-online.ru/e-auction/media/reglament.pdf" \t "_blank" </w:instrText>
        </w:r>
        <w:r w:rsidRPr="00CC548C">
          <w:fldChar w:fldCharType="separate"/>
        </w:r>
        <w:r w:rsidRPr="00CC548C">
          <w:t> а также имущества, подлежащего  продаже  в  процессе  приватизации)</w:t>
        </w:r>
        <w:r w:rsidRPr="00CC548C">
          <w:fldChar w:fldCharType="end"/>
        </w:r>
        <w:bookmarkEnd w:id="3"/>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lastRenderedPageBreak/>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7777777" w:rsidR="009949A8" w:rsidRPr="00CC548C" w:rsidRDefault="009949A8" w:rsidP="009949A8">
      <w:pPr>
        <w:ind w:right="-57" w:firstLine="567"/>
        <w:contextualSpacing/>
        <w:jc w:val="both"/>
        <w:rPr>
          <w:u w:val="single"/>
        </w:rPr>
      </w:pPr>
      <w:r w:rsidRPr="00CC548C">
        <w:rPr>
          <w:u w:val="single"/>
        </w:rPr>
        <w:t xml:space="preserve">Риски, связанные с отказом Собственника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lastRenderedPageBreak/>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7777777" w:rsidR="000F469E" w:rsidRDefault="000F469E" w:rsidP="00097507">
      <w:pPr>
        <w:ind w:firstLine="709"/>
        <w:jc w:val="both"/>
      </w:pPr>
      <w:r w:rsidRPr="000F469E">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Собственника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w:t>
      </w:r>
      <w:r w:rsidRPr="00CC548C">
        <w:lastRenderedPageBreak/>
        <w:t xml:space="preserve">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lastRenderedPageBreak/>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77777777"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 xml:space="preserve">рабочих дней с даты подведения итогов аукциона в соответствии с формой, размещенной </w:t>
      </w:r>
      <w:bookmarkStart w:id="8" w:name="_Hlk223444920"/>
      <w:r w:rsidRPr="00CC548C">
        <w:rPr>
          <w:b/>
        </w:rPr>
        <w:t>на сайте www.lot-online.ru в разделе «карточка лота».</w:t>
      </w:r>
      <w:bookmarkEnd w:id="8"/>
    </w:p>
    <w:p w14:paraId="190B9839" w14:textId="77777777" w:rsidR="0063300F" w:rsidRPr="0063300F" w:rsidRDefault="0063300F" w:rsidP="00F94D81">
      <w:pPr>
        <w:pStyle w:val="af3"/>
        <w:ind w:left="0" w:right="-57" w:firstLine="567"/>
        <w:jc w:val="both"/>
        <w:rPr>
          <w:b/>
          <w:bCs/>
          <w:lang w:val="ru-RU"/>
        </w:rPr>
      </w:pPr>
      <w:bookmarkStart w:id="9"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9"/>
    <w:p w14:paraId="253752AA" w14:textId="77777777" w:rsidR="00623DDD"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623DDD" w:rsidRPr="00623DDD">
        <w:rPr>
          <w:bCs/>
        </w:rPr>
        <w:t xml:space="preserve">г. Тольятти, ул. Юбилейная, д. 55, </w:t>
      </w:r>
      <w:proofErr w:type="spellStart"/>
      <w:r w:rsidR="00623DDD" w:rsidRPr="00623DDD">
        <w:rPr>
          <w:bCs/>
        </w:rPr>
        <w:t>каб</w:t>
      </w:r>
      <w:proofErr w:type="spellEnd"/>
      <w:r w:rsidR="00623DDD" w:rsidRPr="00623DDD">
        <w:rPr>
          <w:bCs/>
        </w:rPr>
        <w:t xml:space="preserve">. 303, тел. 8(917)125-00-51 </w:t>
      </w:r>
      <w:proofErr w:type="spellStart"/>
      <w:r w:rsidR="00623DDD" w:rsidRPr="00623DDD">
        <w:rPr>
          <w:bCs/>
        </w:rPr>
        <w:t>Помаз</w:t>
      </w:r>
      <w:proofErr w:type="spellEnd"/>
      <w:r w:rsidR="00623DDD" w:rsidRPr="00623DDD">
        <w:rPr>
          <w:bCs/>
        </w:rPr>
        <w:t xml:space="preserve"> Ирина Ивановна.</w:t>
      </w:r>
    </w:p>
    <w:p w14:paraId="5260E7A4" w14:textId="4E68CAC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0"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1" w:name="_Hlk103168866"/>
      <w:r w:rsidRPr="00CC548C">
        <w:rPr>
          <w:b/>
        </w:rPr>
        <w:t xml:space="preserve">15 (пятнадцати) </w:t>
      </w:r>
      <w:bookmarkEnd w:id="11"/>
      <w:r w:rsidRPr="00CC548C">
        <w:rPr>
          <w:b/>
        </w:rPr>
        <w:t xml:space="preserve">рабочих дней с даты признания аукциона несостоявшимся. </w:t>
      </w:r>
    </w:p>
    <w:bookmarkEnd w:id="10"/>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lastRenderedPageBreak/>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Pr="00C565A0" w:rsidRDefault="006013A9" w:rsidP="00F868EC">
      <w:pPr>
        <w:ind w:right="-57" w:firstLine="709"/>
        <w:jc w:val="both"/>
        <w:rPr>
          <w:bCs/>
          <w:sz w:val="10"/>
          <w:szCs w:val="10"/>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F018E0">
          <w:pgSz w:w="11906" w:h="16838"/>
          <w:pgMar w:top="426" w:right="424"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303B14">
      <w:pPr>
        <w:ind w:right="-30"/>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303B14">
      <w:pPr>
        <w:tabs>
          <w:tab w:val="left" w:pos="851"/>
        </w:tabs>
        <w:ind w:right="-30"/>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303B14">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303B14">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303B14">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303B14">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303B14">
      <w:pPr>
        <w:ind w:right="-30"/>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303B14">
      <w:pPr>
        <w:numPr>
          <w:ilvl w:val="0"/>
          <w:numId w:val="13"/>
        </w:numPr>
        <w:ind w:right="-30"/>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303B14">
      <w:pPr>
        <w:numPr>
          <w:ilvl w:val="0"/>
          <w:numId w:val="13"/>
        </w:numPr>
        <w:ind w:right="-30"/>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303B14">
      <w:pPr>
        <w:tabs>
          <w:tab w:val="left" w:pos="851"/>
        </w:tabs>
        <w:ind w:right="-30"/>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303B1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303B14">
      <w:pPr>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303B14">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2" w:name="_Hlk99543597"/>
      <w:r w:rsidRPr="00CC548C">
        <w:rPr>
          <w:b/>
          <w:spacing w:val="26"/>
          <w:sz w:val="22"/>
          <w:szCs w:val="22"/>
        </w:rPr>
        <w:lastRenderedPageBreak/>
        <w:t>ЗАВЕРЕНИЕ КОНТРАГЕНТА ФИЗИЧЕСКОГО ЛИЦА</w:t>
      </w:r>
    </w:p>
    <w:bookmarkEnd w:id="12"/>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303B14">
      <w:pPr>
        <w:tabs>
          <w:tab w:val="left" w:pos="851"/>
        </w:tabs>
        <w:spacing w:line="288" w:lineRule="auto"/>
        <w:ind w:left="426" w:right="253"/>
        <w:jc w:val="both"/>
        <w:rPr>
          <w:sz w:val="12"/>
          <w:szCs w:val="16"/>
          <w:lang w:val="en-US"/>
        </w:rPr>
      </w:pPr>
    </w:p>
    <w:p w14:paraId="7BFC14FC" w14:textId="77777777" w:rsidR="00E74D5A" w:rsidRPr="00CC548C" w:rsidRDefault="00E74D5A" w:rsidP="00303B14">
      <w:pPr>
        <w:tabs>
          <w:tab w:val="left" w:pos="14459"/>
        </w:tabs>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41CD"/>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374"/>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6917"/>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37AE"/>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3B14"/>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3FFA"/>
    <w:rsid w:val="00324122"/>
    <w:rsid w:val="00326CD1"/>
    <w:rsid w:val="00332499"/>
    <w:rsid w:val="0033336B"/>
    <w:rsid w:val="00335137"/>
    <w:rsid w:val="003373F5"/>
    <w:rsid w:val="00337616"/>
    <w:rsid w:val="003435E4"/>
    <w:rsid w:val="00343964"/>
    <w:rsid w:val="00343A65"/>
    <w:rsid w:val="003450A1"/>
    <w:rsid w:val="003450D2"/>
    <w:rsid w:val="00346F7E"/>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316"/>
    <w:rsid w:val="004D649E"/>
    <w:rsid w:val="004E1BD8"/>
    <w:rsid w:val="004E318E"/>
    <w:rsid w:val="004E4BA4"/>
    <w:rsid w:val="004E6E5C"/>
    <w:rsid w:val="004E7366"/>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5ED"/>
    <w:rsid w:val="005A0AC0"/>
    <w:rsid w:val="005A1259"/>
    <w:rsid w:val="005A12CB"/>
    <w:rsid w:val="005A1758"/>
    <w:rsid w:val="005A3AF6"/>
    <w:rsid w:val="005A789D"/>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3DDD"/>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2B"/>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2347"/>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60A"/>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77FE3"/>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30B4"/>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D6322"/>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5CA"/>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77654"/>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391"/>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6C9F"/>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6600"/>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14B6"/>
    <w:rsid w:val="00C02FFA"/>
    <w:rsid w:val="00C03BD1"/>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2CF"/>
    <w:rsid w:val="00C55BED"/>
    <w:rsid w:val="00C56467"/>
    <w:rsid w:val="00C5651D"/>
    <w:rsid w:val="00C565A0"/>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5DF"/>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CD7"/>
    <w:rsid w:val="00CF0F56"/>
    <w:rsid w:val="00CF32F2"/>
    <w:rsid w:val="00D00DF5"/>
    <w:rsid w:val="00D03343"/>
    <w:rsid w:val="00D037A0"/>
    <w:rsid w:val="00D03AB2"/>
    <w:rsid w:val="00D0467F"/>
    <w:rsid w:val="00D058EE"/>
    <w:rsid w:val="00D05E4D"/>
    <w:rsid w:val="00D0636E"/>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176"/>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18E0"/>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84D"/>
    <w:rsid w:val="00FB0909"/>
    <w:rsid w:val="00FB24DC"/>
    <w:rsid w:val="00FB4ABD"/>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4718</Words>
  <Characters>32699</Characters>
  <Application>Microsoft Office Word</Application>
  <DocSecurity>0</DocSecurity>
  <Lines>272</Lines>
  <Paragraphs>74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37343</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7</cp:revision>
  <cp:lastPrinted>2023-07-28T10:21:00Z</cp:lastPrinted>
  <dcterms:created xsi:type="dcterms:W3CDTF">2026-04-06T09:34:00Z</dcterms:created>
  <dcterms:modified xsi:type="dcterms:W3CDTF">2026-04-06T10:59:00Z</dcterms:modified>
</cp:coreProperties>
</file>