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2E8B129C"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E53954">
        <w:rPr>
          <w:b/>
          <w:bCs/>
        </w:rPr>
        <w:t>ых</w:t>
      </w:r>
      <w:r w:rsidR="00533BC4">
        <w:rPr>
          <w:b/>
          <w:bCs/>
        </w:rPr>
        <w:t xml:space="preserve"> помещени</w:t>
      </w:r>
      <w:r w:rsidR="00E53954">
        <w:rPr>
          <w:b/>
          <w:bCs/>
        </w:rPr>
        <w:t>й</w:t>
      </w:r>
      <w:r w:rsidR="008D5FC8" w:rsidRPr="008D5FC8">
        <w:rPr>
          <w:b/>
          <w:bCs/>
        </w:rPr>
        <w:t xml:space="preserve">, </w:t>
      </w:r>
      <w:r w:rsidR="0030108F">
        <w:rPr>
          <w:b/>
          <w:bCs/>
        </w:rPr>
        <w:t>р</w:t>
      </w:r>
      <w:r w:rsidR="009C7CFD" w:rsidRPr="008D5FC8">
        <w:rPr>
          <w:b/>
          <w:bCs/>
        </w:rPr>
        <w:t>асположенн</w:t>
      </w:r>
      <w:r w:rsidR="00E53954">
        <w:rPr>
          <w:b/>
          <w:bCs/>
        </w:rPr>
        <w:t>ых</w:t>
      </w:r>
      <w:r w:rsidR="008D5FC8" w:rsidRPr="008D5FC8">
        <w:rPr>
          <w:b/>
          <w:bCs/>
        </w:rPr>
        <w:t xml:space="preserve"> по адресу:</w:t>
      </w:r>
      <w:r w:rsidR="00282AF4" w:rsidRPr="00282AF4">
        <w:rPr>
          <w:b/>
        </w:rPr>
        <w:t xml:space="preserve"> </w:t>
      </w:r>
      <w:r w:rsidR="00671CAE" w:rsidRPr="00671CAE">
        <w:rPr>
          <w:b/>
        </w:rPr>
        <w:t>Иркутская область, г. Зима, пер. Донской, д. 1</w:t>
      </w:r>
      <w:r w:rsidR="00940297" w:rsidRPr="00940297">
        <w:rPr>
          <w:rFonts w:eastAsia="Times New Roman"/>
          <w:b/>
        </w:rPr>
        <w:t>,</w:t>
      </w:r>
      <w:r w:rsidR="00940297" w:rsidRPr="00F30D8B">
        <w:rPr>
          <w:b/>
          <w:bCs/>
        </w:rPr>
        <w:t xml:space="preserve"> принадлежащ</w:t>
      </w:r>
      <w:r w:rsidR="00E53954">
        <w:rPr>
          <w:b/>
          <w:bCs/>
        </w:rPr>
        <w:t>их</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3B41EE13" w:rsidR="00B81009" w:rsidRPr="00D01189" w:rsidRDefault="00671CAE" w:rsidP="00362841">
      <w:pPr>
        <w:jc w:val="center"/>
        <w:outlineLvl w:val="0"/>
        <w:rPr>
          <w:bCs/>
        </w:rPr>
      </w:pPr>
      <w:r>
        <w:rPr>
          <w:b/>
          <w:bCs/>
          <w:sz w:val="28"/>
          <w:szCs w:val="28"/>
        </w:rPr>
        <w:t>12.05</w:t>
      </w:r>
      <w:r w:rsidR="00564F6D">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21757D9F"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671CAE">
        <w:rPr>
          <w:b/>
          <w:bCs/>
        </w:rPr>
        <w:t>06.04</w:t>
      </w:r>
      <w:r w:rsidR="002F5571">
        <w:rPr>
          <w:b/>
          <w:bCs/>
        </w:rPr>
        <w:t>.202</w:t>
      </w:r>
      <w:r w:rsidR="00E53954">
        <w:rPr>
          <w:b/>
          <w:bCs/>
        </w:rPr>
        <w:t>6</w:t>
      </w:r>
      <w:r w:rsidRPr="00B106CA">
        <w:rPr>
          <w:b/>
          <w:bCs/>
        </w:rPr>
        <w:t xml:space="preserve"> г. по </w:t>
      </w:r>
      <w:r w:rsidR="00671CAE">
        <w:rPr>
          <w:b/>
          <w:bCs/>
        </w:rPr>
        <w:t>07.05</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4E16EC3" w:rsidR="00362841" w:rsidRPr="0005653B" w:rsidRDefault="00362841" w:rsidP="00362841">
      <w:pPr>
        <w:jc w:val="center"/>
        <w:outlineLvl w:val="0"/>
        <w:rPr>
          <w:bCs/>
        </w:rPr>
      </w:pPr>
      <w:r w:rsidRPr="0005653B">
        <w:rPr>
          <w:b/>
          <w:bCs/>
        </w:rPr>
        <w:t xml:space="preserve">не позднее </w:t>
      </w:r>
      <w:r w:rsidR="00671CAE">
        <w:rPr>
          <w:b/>
          <w:bCs/>
        </w:rPr>
        <w:t>07.05</w:t>
      </w:r>
      <w:r w:rsidR="002F5571">
        <w:rPr>
          <w:b/>
          <w:bCs/>
        </w:rPr>
        <w:t>.202</w:t>
      </w:r>
      <w:r w:rsidR="00E53954">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EE51A49"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671CAE">
        <w:rPr>
          <w:b/>
          <w:bCs/>
        </w:rPr>
        <w:t>08.05</w:t>
      </w:r>
      <w:r w:rsidR="002F5571">
        <w:rPr>
          <w:b/>
          <w:bCs/>
        </w:rPr>
        <w:t>.202</w:t>
      </w:r>
      <w:r w:rsidR="00E53954">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7721F32D" w14:textId="3E3DC52A" w:rsidR="00B86D36" w:rsidRDefault="00671CAE" w:rsidP="00B86D36">
      <w:pPr>
        <w:ind w:right="-57" w:firstLine="680"/>
        <w:jc w:val="both"/>
      </w:pPr>
      <w:r w:rsidRPr="00671CAE">
        <w:t>Недвижимое имущество, нежилое помещение площадью 60,4 кв. м, кадастровый номер 38:35:010119:1043 (далее Объект 1), расположенное на 1 этаже по адресу: Иркутская область, г. Зима, пер. Донской, д. 1, принадлежащее Доверителю на праве собственности, что подтверждается записью регистрации в Едином государственном реестре недвижимости 38:35:010119:1043-38/367/2026-1 от 16.03.2026г.</w:t>
      </w:r>
      <w:r w:rsidR="00B86D36">
        <w:t xml:space="preserve">.  </w:t>
      </w:r>
    </w:p>
    <w:p w14:paraId="6EEDF48B" w14:textId="77777777" w:rsidR="00B86D36" w:rsidRDefault="00B86D36" w:rsidP="00B86D36">
      <w:pPr>
        <w:ind w:right="-57" w:firstLine="680"/>
        <w:jc w:val="both"/>
      </w:pPr>
    </w:p>
    <w:p w14:paraId="6C7B028D" w14:textId="56755941" w:rsidR="00B86D36" w:rsidRDefault="00B86D36" w:rsidP="00B86D36">
      <w:pPr>
        <w:ind w:right="-57" w:firstLine="680"/>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w:t>
      </w:r>
    </w:p>
    <w:p w14:paraId="0AAFA0E3" w14:textId="77777777" w:rsidR="00B86D36" w:rsidRPr="000726B6" w:rsidRDefault="00B86D36" w:rsidP="00814CDE">
      <w:pPr>
        <w:ind w:right="-57" w:firstLine="680"/>
        <w:jc w:val="both"/>
        <w:rPr>
          <w:color w:val="000000"/>
          <w:shd w:val="clear" w:color="auto" w:fill="FFFFFF"/>
        </w:rPr>
      </w:pP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0F733077" w14:textId="11B29602" w:rsidR="00671CAE" w:rsidRPr="00671CAE" w:rsidRDefault="00C26BF6" w:rsidP="00671CAE">
      <w:pPr>
        <w:pStyle w:val="mcntmcntmsonormal"/>
        <w:shd w:val="clear" w:color="auto" w:fill="FFFFFF"/>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671CAE" w:rsidRPr="00671CAE">
        <w:rPr>
          <w:color w:val="000000"/>
        </w:rPr>
        <w:t>30 500,00 (Тридцать тысяч пятьсот) рублей 00 копеек, с учетом НДС 22% в размере 5 500,00 (Пять тысяч пятьсот) рублей 00 копеек, без учета коммунальных расходов.</w:t>
      </w:r>
    </w:p>
    <w:p w14:paraId="6F2E1769" w14:textId="7EE94024" w:rsidR="000726B6" w:rsidRDefault="000726B6" w:rsidP="00DF1DBF">
      <w:pPr>
        <w:pStyle w:val="mcntmcntmsonormal"/>
        <w:shd w:val="clear" w:color="auto" w:fill="FFFFFF"/>
        <w:jc w:val="both"/>
        <w:rPr>
          <w:b/>
          <w:bCs/>
          <w:color w:val="000000"/>
        </w:rPr>
      </w:pPr>
      <w:r>
        <w:rPr>
          <w:b/>
          <w:bCs/>
          <w:color w:val="000000"/>
        </w:rPr>
        <w:t>С</w:t>
      </w:r>
      <w:r w:rsidR="00C26BF6" w:rsidRPr="00C26BF6">
        <w:rPr>
          <w:b/>
          <w:bCs/>
          <w:color w:val="000000"/>
        </w:rPr>
        <w:t xml:space="preserve">умма задатка – </w:t>
      </w:r>
      <w:r w:rsidR="00671CAE" w:rsidRPr="00671CAE">
        <w:rPr>
          <w:b/>
          <w:bCs/>
          <w:color w:val="000000"/>
        </w:rPr>
        <w:t>3 050,00 (Три тысячи пятьдесят) рублей 00 копеек.</w:t>
      </w:r>
      <w:r w:rsidR="00DF1DBF" w:rsidRPr="00DF1DBF">
        <w:rPr>
          <w:b/>
          <w:bCs/>
          <w:color w:val="000000"/>
        </w:rPr>
        <w:t>, НДС не облагается.</w:t>
      </w:r>
    </w:p>
    <w:p w14:paraId="0CFFAB94" w14:textId="2E839748"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lastRenderedPageBreak/>
        <w:t xml:space="preserve">Шаг аукциона на повышение – </w:t>
      </w:r>
      <w:r w:rsidR="00671CAE" w:rsidRPr="00671CAE">
        <w:rPr>
          <w:b/>
          <w:bCs/>
          <w:color w:val="000000"/>
        </w:rPr>
        <w:t>305,00 (Триста пять) рублей 00 копейки, не менее 1 % от начальной цены арендной платы</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proofErr w:type="spellStart"/>
      <w:r w:rsidRPr="000726B6">
        <w:rPr>
          <w:color w:val="0000FF"/>
          <w:u w:val="single"/>
          <w:lang w:val="en-US"/>
        </w:rPr>
        <w:t>irkutsk</w:t>
      </w:r>
      <w:proofErr w:type="spellEnd"/>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690B253F" w14:textId="77777777" w:rsidR="00814CDE" w:rsidRDefault="00814CDE" w:rsidP="00D610A5">
      <w:pPr>
        <w:ind w:firstLine="720"/>
        <w:jc w:val="center"/>
        <w:rPr>
          <w:rFonts w:eastAsia="Times New Roman"/>
          <w:b/>
          <w:bCs/>
        </w:rPr>
      </w:pPr>
    </w:p>
    <w:p w14:paraId="12DE02C2" w14:textId="77777777" w:rsidR="00814CDE" w:rsidRDefault="00814CDE" w:rsidP="00D610A5">
      <w:pPr>
        <w:ind w:firstLine="720"/>
        <w:jc w:val="center"/>
        <w:rPr>
          <w:rFonts w:eastAsia="Times New Roman"/>
          <w:b/>
          <w:bCs/>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lastRenderedPageBreak/>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 xml:space="preserve">Система оператора электронного документооборота Арендодателя </w:t>
      </w:r>
      <w:proofErr w:type="spellStart"/>
      <w:r>
        <w:t>Сбис</w:t>
      </w:r>
      <w:proofErr w:type="spellEnd"/>
      <w:r>
        <w:t xml:space="preserve"> Тензор, </w:t>
      </w:r>
      <w:proofErr w:type="spellStart"/>
      <w:r>
        <w:t>Диадок</w:t>
      </w:r>
      <w:proofErr w:type="spellEnd"/>
      <w:r>
        <w:t xml:space="preserve">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3B8199C" w14:textId="78C81557" w:rsidR="00B03A99" w:rsidRDefault="00DF1DBF" w:rsidP="00DF1DBF">
      <w:pPr>
        <w:autoSpaceDE w:val="0"/>
        <w:autoSpaceDN w:val="0"/>
        <w:adjustRightInd w:val="0"/>
        <w:spacing w:after="120"/>
        <w:ind w:firstLine="567"/>
        <w:jc w:val="both"/>
        <w:rPr>
          <w:rFonts w:eastAsia="Times New Roman"/>
          <w:b/>
          <w:bCs/>
        </w:rPr>
      </w:pPr>
      <w:r w:rsidRPr="00DF1DBF">
        <w:rPr>
          <w:b/>
          <w:bCs/>
        </w:rPr>
        <w:t>Передача объекта осуществляется по акту-приема передачи в</w:t>
      </w:r>
      <w:r>
        <w:rPr>
          <w:b/>
          <w:bCs/>
        </w:rPr>
        <w:t xml:space="preserve"> </w:t>
      </w:r>
      <w:r w:rsidRPr="00DF1DBF">
        <w:rPr>
          <w:b/>
          <w:bCs/>
        </w:rPr>
        <w:t>день подписания договора</w:t>
      </w:r>
      <w:r w:rsidR="00B86D36" w:rsidRPr="00B86D36">
        <w:rPr>
          <w:b/>
          <w:bCs/>
        </w:rPr>
        <w:t>.</w:t>
      </w: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A434" w14:textId="77777777" w:rsidR="006069EF" w:rsidRDefault="006069EF" w:rsidP="008C3E4E">
      <w:r>
        <w:separator/>
      </w:r>
    </w:p>
  </w:endnote>
  <w:endnote w:type="continuationSeparator" w:id="0">
    <w:p w14:paraId="3A970639" w14:textId="77777777" w:rsidR="006069EF" w:rsidRDefault="006069EF"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30D8" w14:textId="77777777" w:rsidR="006069EF" w:rsidRDefault="006069EF" w:rsidP="008C3E4E">
      <w:r>
        <w:separator/>
      </w:r>
    </w:p>
  </w:footnote>
  <w:footnote w:type="continuationSeparator" w:id="0">
    <w:p w14:paraId="6E2A81C1" w14:textId="77777777" w:rsidR="006069EF" w:rsidRDefault="006069EF"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4956"/>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4699"/>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3EAA"/>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24CD"/>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4F6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69EF"/>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1CAE"/>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2A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85E"/>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0A09"/>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D36"/>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DBF"/>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954"/>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B8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5312</Words>
  <Characters>30284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35525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2026-04-06T07:22:00Z</dcterms:created>
  <dcterms:modified xsi:type="dcterms:W3CDTF">2026-04-06T07:22:00Z</dcterms:modified>
</cp:coreProperties>
</file>