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8E2398" w:rsidRDefault="00C94B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00B8742D" w14:textId="77777777" w:rsidR="008E2398" w:rsidRDefault="00C94B76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3F4D8E68" w14:textId="77777777" w:rsidR="008E2398" w:rsidRDefault="008E2398">
      <w:pPr>
        <w:jc w:val="both"/>
        <w:rPr>
          <w:rFonts w:ascii="Times New Roman" w:hAnsi="Times New Roman"/>
        </w:rPr>
      </w:pPr>
    </w:p>
    <w:p w14:paraId="1D5CFE22" w14:textId="77777777" w:rsidR="008E2398" w:rsidRDefault="00C94B76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8E2398" w:rsidRDefault="008E239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DBC8DC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9B584B3" w14:textId="77777777" w:rsidR="008E2398" w:rsidRDefault="008E239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B0ACA1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BDB8204" w14:textId="77777777" w:rsidR="008E2398" w:rsidRDefault="00C94B76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8E2398" w:rsidRDefault="00C94B7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7B14FFC4" w14:textId="77777777" w:rsidR="008E2398" w:rsidRDefault="008E239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A50AF2" w14:textId="77777777" w:rsidR="008E2398" w:rsidRDefault="00C94B7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9A1D2C9" w14:textId="77777777" w:rsidR="008E2398" w:rsidRDefault="008E2398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204003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448882" w14:textId="77777777" w:rsidR="008E2398" w:rsidRDefault="008E239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035BFC3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90A8231" w14:textId="77777777" w:rsidR="008E2398" w:rsidRDefault="008E239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317049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AAD7C3A" w14:textId="77777777" w:rsidR="008E2398" w:rsidRDefault="008E239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C83C9DC" w14:textId="77777777" w:rsidR="008E2398" w:rsidRDefault="00C94B7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8E2398" w:rsidRDefault="008E2398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F73346A" w14:textId="77777777" w:rsidR="008E2398" w:rsidRDefault="00C94B76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1AE89CB" w14:textId="77777777" w:rsidR="008E2398" w:rsidRDefault="008E2398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FE90EEE" w14:textId="77777777" w:rsidR="008E2398" w:rsidRDefault="00C94B76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AEEA6AB" w14:textId="77777777" w:rsidR="008E2398" w:rsidRDefault="008E2398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07C984F" w14:textId="7F155FEB" w:rsidR="008E2398" w:rsidRDefault="00C94B7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«29» апреля 2026 года на право заключения договора уступки прав требований:                       </w:t>
      </w:r>
    </w:p>
    <w:p w14:paraId="74339101" w14:textId="15A01050" w:rsidR="008E2398" w:rsidRDefault="00C94B76">
      <w:pPr>
        <w:ind w:right="-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  <w:bCs/>
        </w:rPr>
        <w:t>о договору участия в долевом строительстве</w:t>
      </w:r>
      <w:r>
        <w:rPr>
          <w:rFonts w:ascii="Times New Roman" w:hAnsi="Times New Roman"/>
        </w:rPr>
        <w:t xml:space="preserve"> в многоквартирном жилом доме на основании договора № 2-й Иртышский 1.7(</w:t>
      </w:r>
      <w:proofErr w:type="spellStart"/>
      <w:r>
        <w:rPr>
          <w:rFonts w:ascii="Times New Roman" w:hAnsi="Times New Roman"/>
        </w:rPr>
        <w:t>нж</w:t>
      </w:r>
      <w:proofErr w:type="spellEnd"/>
      <w:r>
        <w:rPr>
          <w:rFonts w:ascii="Times New Roman" w:hAnsi="Times New Roman"/>
        </w:rPr>
        <w:t>)-1.7/1/16(0)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участия в долевом строительстве от 01.12.2025, заключенного с Общество с ограниченной ответственностью «Специализированный застройщик «Л-ДЕВЕЛОПМЕНТ»» (ООО "Специализированный застройщик «Л-ДЕВЕЛОПМЕНТ»), ИНН 9715391937, в соответствии с которым Застройщик обязуется после получения разрешения на ввод в эксплуатацию ЖК «2-й Иртышский» по адресу: Российская Федерация, г. Москва, </w:t>
      </w:r>
      <w:proofErr w:type="spellStart"/>
      <w:r>
        <w:rPr>
          <w:rFonts w:ascii="Times New Roman" w:hAnsi="Times New Roman"/>
        </w:rPr>
        <w:t>вн</w:t>
      </w:r>
      <w:r>
        <w:rPr>
          <w:rFonts w:ascii="Times New Roman" w:hAnsi="Times New Roman"/>
        </w:rPr>
        <w:t>.тер.г</w:t>
      </w:r>
      <w:proofErr w:type="spellEnd"/>
      <w:r>
        <w:rPr>
          <w:rFonts w:ascii="Times New Roman" w:hAnsi="Times New Roman"/>
        </w:rPr>
        <w:t xml:space="preserve">. муниципальный округ Гольяново, </w:t>
      </w:r>
      <w:proofErr w:type="spellStart"/>
      <w:r>
        <w:rPr>
          <w:rFonts w:ascii="Times New Roman" w:hAnsi="Times New Roman"/>
        </w:rPr>
        <w:t>пр</w:t>
      </w:r>
      <w:proofErr w:type="spellEnd"/>
      <w:r>
        <w:rPr>
          <w:rFonts w:ascii="Times New Roman" w:hAnsi="Times New Roman"/>
        </w:rPr>
        <w:t xml:space="preserve">-д 2-й Иртышский, передать </w:t>
      </w:r>
      <w:r>
        <w:rPr>
          <w:rFonts w:ascii="Times New Roman" w:hAnsi="Times New Roman"/>
        </w:rPr>
        <w:t xml:space="preserve"> нежилое помещение, имеющее следующие характеристики: Строительный адрес: г. Москва, ВАО, Гольяново, </w:t>
      </w:r>
      <w:proofErr w:type="spellStart"/>
      <w:r>
        <w:rPr>
          <w:rFonts w:ascii="Times New Roman" w:hAnsi="Times New Roman"/>
        </w:rPr>
        <w:t>пр</w:t>
      </w:r>
      <w:proofErr w:type="spellEnd"/>
      <w:r>
        <w:rPr>
          <w:rFonts w:ascii="Times New Roman" w:hAnsi="Times New Roman"/>
        </w:rPr>
        <w:t>-д 2-й Иртышский, Назначение: нежилое помещение для коммерческого использования, Условный номер: НПКИ 16, Номер этажа: 1, Проектная общая площадь (кв.м.): 141.1</w:t>
      </w:r>
    </w:p>
    <w:p w14:paraId="794EDC08" w14:textId="77777777" w:rsidR="008E2398" w:rsidRDefault="00C94B7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(ограничения): не зарегистрировано.</w:t>
      </w:r>
    </w:p>
    <w:p w14:paraId="615C04BB" w14:textId="389E7D18" w:rsidR="008E2398" w:rsidRDefault="00C94B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З</w:t>
      </w:r>
      <w:r>
        <w:rPr>
          <w:sz w:val="22"/>
          <w:szCs w:val="22"/>
        </w:rPr>
        <w:t xml:space="preserve">аключен Договор № </w:t>
      </w:r>
      <w:proofErr w:type="spellStart"/>
      <w:r>
        <w:rPr>
          <w:sz w:val="22"/>
          <w:szCs w:val="22"/>
        </w:rPr>
        <w:t>МсФ_с</w:t>
      </w:r>
      <w:proofErr w:type="spellEnd"/>
      <w:r>
        <w:rPr>
          <w:sz w:val="22"/>
          <w:szCs w:val="22"/>
        </w:rPr>
        <w:t>/41446/25 аренды с АО «ТАНДЕР» сроком по 31 марта 2038 год.</w:t>
      </w:r>
    </w:p>
    <w:p w14:paraId="4E884611" w14:textId="618D0A19" w:rsidR="008E2398" w:rsidRDefault="00C94B76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5CF4CC85" w14:textId="77777777" w:rsidR="008E2398" w:rsidRDefault="00C94B76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656FC0F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2109AF3" w14:textId="5647795D" w:rsidR="008E2398" w:rsidRDefault="00C94B76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уступки прав требования (цессии) с Собственником (Цедентом) в течение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152B68" w14:textId="7676F9CE" w:rsidR="008E2398" w:rsidRDefault="00C94B76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</w:t>
      </w:r>
      <w:r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уступки прав требования.</w:t>
      </w:r>
    </w:p>
    <w:p w14:paraId="512EE110" w14:textId="77777777" w:rsidR="008E2398" w:rsidRDefault="008E2398">
      <w:pPr>
        <w:jc w:val="both"/>
        <w:rPr>
          <w:rFonts w:ascii="Times New Roman" w:hAnsi="Times New Roman"/>
          <w:b/>
        </w:rPr>
      </w:pPr>
    </w:p>
    <w:p w14:paraId="0E7D0A11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6DF7ED30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3CF8C5F5" w:rsidR="008E2398" w:rsidRDefault="00C94B76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</w:t>
      </w:r>
      <w:r>
        <w:rPr>
          <w:rFonts w:ascii="Times New Roman" w:hAnsi="Times New Roman"/>
          <w:bCs/>
        </w:rPr>
        <w:t xml:space="preserve">уступки прав требования </w:t>
      </w:r>
      <w:r>
        <w:rPr>
          <w:rFonts w:ascii="Times New Roman" w:hAnsi="Times New Roman"/>
        </w:rPr>
        <w:t xml:space="preserve">Объекта. </w:t>
      </w:r>
    </w:p>
    <w:p w14:paraId="2401B729" w14:textId="77777777" w:rsidR="008E2398" w:rsidRDefault="008E2398">
      <w:pPr>
        <w:jc w:val="both"/>
        <w:rPr>
          <w:rFonts w:ascii="Times New Roman" w:hAnsi="Times New Roman"/>
          <w:b/>
        </w:rPr>
      </w:pPr>
    </w:p>
    <w:p w14:paraId="70DC5B16" w14:textId="1A20DE74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</w:t>
      </w:r>
      <w:r>
        <w:rPr>
          <w:rFonts w:ascii="Times New Roman" w:hAnsi="Times New Roman"/>
          <w:bCs/>
        </w:rPr>
        <w:t>уступки прав требования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договора </w:t>
      </w:r>
      <w:r>
        <w:rPr>
          <w:rFonts w:ascii="Times New Roman" w:hAnsi="Times New Roman"/>
          <w:bCs/>
        </w:rPr>
        <w:t xml:space="preserve">уступки прав требования </w:t>
      </w:r>
      <w:r>
        <w:rPr>
          <w:rFonts w:ascii="Times New Roman" w:hAnsi="Times New Roman"/>
        </w:rPr>
        <w:t xml:space="preserve">согласен, обязуюсь условия договора </w:t>
      </w:r>
      <w:r>
        <w:rPr>
          <w:rFonts w:ascii="Times New Roman" w:hAnsi="Times New Roman"/>
          <w:bCs/>
        </w:rPr>
        <w:t xml:space="preserve">уступки прав требования </w:t>
      </w:r>
      <w:r>
        <w:rPr>
          <w:rFonts w:ascii="Times New Roman" w:hAnsi="Times New Roman"/>
        </w:rPr>
        <w:t>выполнять. Претензий по качеству, состоянию Объекта и к документации не имею.</w:t>
      </w:r>
    </w:p>
    <w:p w14:paraId="509F47DD" w14:textId="77777777" w:rsidR="008E2398" w:rsidRDefault="008E2398">
      <w:pPr>
        <w:jc w:val="both"/>
        <w:rPr>
          <w:rFonts w:ascii="Times New Roman" w:hAnsi="Times New Roman"/>
        </w:rPr>
      </w:pPr>
    </w:p>
    <w:p w14:paraId="0994C048" w14:textId="2210BA04" w:rsidR="008E2398" w:rsidRDefault="00C94B76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</w:t>
      </w:r>
      <w:r>
        <w:rPr>
          <w:rFonts w:ascii="Times New Roman" w:hAnsi="Times New Roman"/>
          <w:bCs/>
        </w:rPr>
        <w:t>уступки прав требования</w:t>
      </w:r>
      <w:r>
        <w:rPr>
          <w:rFonts w:ascii="Times New Roman" w:hAnsi="Times New Roman"/>
        </w:rPr>
        <w:t xml:space="preserve"> Объекта по начальной цене Лота в течение 10 (десяти) рабочих дней с даты признания торгов несостоявшимися. Заключение договора уступки прав требования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</w:t>
      </w:r>
      <w:r>
        <w:rPr>
          <w:rFonts w:ascii="Times New Roman" w:hAnsi="Times New Roman"/>
        </w:rPr>
        <w:t xml:space="preserve">утем безналичного перечисления денежных средств на расчетный счет Продавца, указанный в договоре уступки прав требования Объекта, в соответствии с условиями такого договора уступки прав </w:t>
      </w:r>
      <w:proofErr w:type="gramStart"/>
      <w:r>
        <w:rPr>
          <w:rFonts w:ascii="Times New Roman" w:hAnsi="Times New Roman"/>
        </w:rPr>
        <w:t>требования .</w:t>
      </w:r>
      <w:proofErr w:type="gramEnd"/>
      <w:r>
        <w:rPr>
          <w:rFonts w:ascii="Times New Roman" w:hAnsi="Times New Roman"/>
          <w:b/>
        </w:rPr>
        <w:t xml:space="preserve"> </w:t>
      </w:r>
    </w:p>
    <w:p w14:paraId="2AA13936" w14:textId="77777777" w:rsidR="008E2398" w:rsidRDefault="008E2398">
      <w:pPr>
        <w:ind w:left="-15" w:right="60"/>
        <w:jc w:val="both"/>
        <w:rPr>
          <w:rFonts w:ascii="Times New Roman" w:hAnsi="Times New Roman"/>
          <w:b/>
        </w:rPr>
      </w:pPr>
    </w:p>
    <w:p w14:paraId="061CA928" w14:textId="02C71F28" w:rsidR="008E2398" w:rsidRDefault="00C94B76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уступки прав требования Объекта по результатам торгов в установленный срок, от оплаты цены Объекта, договор уступки прав требования Объекта может быть заключен с участником аукциона, сделавшим предпоследнее предложение по цене Объекта в ходе торгов, в течение 10 (десяти) рабочих дней с даты получения от Организатора торгов уведомления с предложением заключить договор уступки прав требова</w:t>
      </w:r>
      <w:r>
        <w:rPr>
          <w:rFonts w:ascii="Times New Roman" w:hAnsi="Times New Roman"/>
        </w:rPr>
        <w:t xml:space="preserve">ния Объекта. Заключение договора уступки прав требования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уступки прав требования Объекта, в соответствии с условиями такого договора уступки прав </w:t>
      </w:r>
      <w:proofErr w:type="gramStart"/>
      <w:r>
        <w:rPr>
          <w:rFonts w:ascii="Times New Roman" w:hAnsi="Times New Roman"/>
        </w:rPr>
        <w:t>требования .</w:t>
      </w:r>
      <w:proofErr w:type="gramEnd"/>
      <w:r>
        <w:rPr>
          <w:rFonts w:ascii="Times New Roman" w:hAnsi="Times New Roman"/>
        </w:rPr>
        <w:t xml:space="preserve"> </w:t>
      </w:r>
    </w:p>
    <w:p w14:paraId="14922386" w14:textId="77777777" w:rsidR="008E2398" w:rsidRDefault="008E2398">
      <w:pPr>
        <w:jc w:val="both"/>
        <w:rPr>
          <w:rFonts w:ascii="Times New Roman" w:hAnsi="Times New Roman"/>
        </w:rPr>
      </w:pPr>
    </w:p>
    <w:p w14:paraId="456983CD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0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BF22B2E" w14:textId="77777777" w:rsidR="008E2398" w:rsidRDefault="008E2398">
      <w:pPr>
        <w:rPr>
          <w:rFonts w:ascii="Times New Roman" w:hAnsi="Times New Roman"/>
        </w:rPr>
      </w:pPr>
    </w:p>
    <w:p w14:paraId="146F9081" w14:textId="77777777" w:rsidR="008E2398" w:rsidRDefault="008E2398">
      <w:pPr>
        <w:jc w:val="both"/>
        <w:rPr>
          <w:rFonts w:ascii="Times New Roman" w:hAnsi="Times New Roman"/>
        </w:rPr>
      </w:pPr>
    </w:p>
    <w:p w14:paraId="17076408" w14:textId="77777777" w:rsidR="008E2398" w:rsidRDefault="00C94B76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11953F1B" w14:textId="77777777" w:rsidR="008E2398" w:rsidRDefault="008E2398">
      <w:pPr>
        <w:jc w:val="both"/>
        <w:rPr>
          <w:rFonts w:ascii="Times New Roman" w:hAnsi="Times New Roman"/>
        </w:rPr>
      </w:pPr>
    </w:p>
    <w:p w14:paraId="25A2AB21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C8BCCEE" w14:textId="77777777" w:rsidR="008E2398" w:rsidRDefault="008E2398">
      <w:pPr>
        <w:jc w:val="both"/>
        <w:rPr>
          <w:rFonts w:ascii="Times New Roman" w:hAnsi="Times New Roman"/>
        </w:rPr>
      </w:pPr>
    </w:p>
    <w:p w14:paraId="4A41AC4A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547B6707" w14:textId="77777777" w:rsidR="008E2398" w:rsidRDefault="008E2398">
      <w:pPr>
        <w:jc w:val="both"/>
        <w:rPr>
          <w:rFonts w:ascii="Times New Roman" w:hAnsi="Times New Roman"/>
        </w:rPr>
      </w:pPr>
    </w:p>
    <w:p w14:paraId="1D2C50B6" w14:textId="77777777" w:rsidR="008E2398" w:rsidRDefault="00C94B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E2398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90EF" w14:textId="77777777" w:rsidR="00C94B76" w:rsidRDefault="00C94B76">
      <w:r>
        <w:separator/>
      </w:r>
    </w:p>
  </w:endnote>
  <w:endnote w:type="continuationSeparator" w:id="0">
    <w:p w14:paraId="11FCB4E6" w14:textId="77777777" w:rsidR="00C94B76" w:rsidRDefault="00C9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4A31" w14:textId="77777777" w:rsidR="00C94B76" w:rsidRDefault="00C94B76">
      <w:pPr>
        <w:rPr>
          <w:sz w:val="12"/>
        </w:rPr>
      </w:pPr>
      <w:r>
        <w:separator/>
      </w:r>
    </w:p>
  </w:footnote>
  <w:footnote w:type="continuationSeparator" w:id="0">
    <w:p w14:paraId="3608E8B4" w14:textId="77777777" w:rsidR="00C94B76" w:rsidRDefault="00C94B76">
      <w:pPr>
        <w:rPr>
          <w:sz w:val="12"/>
        </w:rPr>
      </w:pPr>
      <w:r>
        <w:continuationSeparator/>
      </w:r>
    </w:p>
  </w:footnote>
  <w:footnote w:id="1">
    <w:p w14:paraId="02AAB846" w14:textId="77777777" w:rsidR="008E2398" w:rsidRDefault="00C94B76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8E2398" w:rsidRDefault="00C94B76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98"/>
    <w:rsid w:val="008D606B"/>
    <w:rsid w:val="008E2398"/>
    <w:rsid w:val="00BE639E"/>
    <w:rsid w:val="00C9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paragraph" w:customStyle="1" w:styleId="Default">
    <w:name w:val="Default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DFC26-F1A3-4901-B0AB-E8B3817D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27</cp:revision>
  <dcterms:created xsi:type="dcterms:W3CDTF">2022-09-26T09:39:00Z</dcterms:created>
  <dcterms:modified xsi:type="dcterms:W3CDTF">2026-03-30T12:21:00Z</dcterms:modified>
  <dc:language>ru-RU</dc:language>
</cp:coreProperties>
</file>