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 Unicode MS" w:cs="Arial Unicode MS"/>
          <w:b/>
          <w:i/>
          <w:kern w:val="2"/>
          <w:sz w:val="28"/>
          <w:szCs w:val="28"/>
          <w:lang w:eastAsia="zh-CN" w:bidi="hi-IN"/>
        </w:rPr>
        <w:t>Приложение 2</w:t>
      </w:r>
    </w:p>
    <w:p>
      <w:pPr>
        <w:pStyle w:val="Normal"/>
        <w:tabs>
          <w:tab w:val="left" w:pos="708" w:leader="none"/>
        </w:tabs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i/>
          <w:kern w:val="2"/>
          <w:sz w:val="28"/>
          <w:szCs w:val="28"/>
          <w:lang w:eastAsia="zh-CN" w:bidi="hi-IN"/>
        </w:rPr>
        <w:t xml:space="preserve">к распоряжению  </w:t>
      </w:r>
    </w:p>
    <w:p>
      <w:pPr>
        <w:pStyle w:val="Normal"/>
        <w:tabs>
          <w:tab w:val="left" w:pos="708" w:leader="none"/>
        </w:tabs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i/>
          <w:kern w:val="2"/>
          <w:sz w:val="28"/>
          <w:szCs w:val="28"/>
          <w:shd w:fill="FFFFFF" w:val="clear"/>
          <w:lang w:eastAsia="zh-CN" w:bidi="hi-IN"/>
        </w:rPr>
        <w:t>ООО «МГЭС Ставрополья и КЧР»</w:t>
      </w:r>
    </w:p>
    <w:p>
      <w:pPr>
        <w:pStyle w:val="Normal"/>
        <w:tabs>
          <w:tab w:val="left" w:pos="708" w:leader="none"/>
        </w:tabs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i/>
          <w:kern w:val="2"/>
          <w:sz w:val="28"/>
          <w:szCs w:val="28"/>
          <w:lang w:eastAsia="zh-CN" w:bidi="hi-IN"/>
        </w:rPr>
        <w:t xml:space="preserve">от ___.___.2026 № __________  </w:t>
      </w:r>
    </w:p>
    <w:p>
      <w:pPr>
        <w:pStyle w:val="Normal"/>
        <w:spacing w:before="0" w:after="0"/>
        <w:ind w:left="3980" w:hanging="1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954" w:hanging="0"/>
        <w:jc w:val="right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left="5954" w:hanging="0"/>
        <w:jc w:val="right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  <w:sz w:val="28"/>
          <w:szCs w:val="28"/>
        </w:rPr>
        <w:t>Извещение о проведении открытого аукциона в электронной форме по продаже имущества ПАО «РусГидро»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Продавец:</w:t>
      </w:r>
      <w:r>
        <w:rPr>
          <w:b w:val="false"/>
          <w:sz w:val="26"/>
          <w:szCs w:val="26"/>
        </w:rPr>
        <w:t xml:space="preserve"> Общество с ограниченной ответственностью «Малые ГЭС Ставрополья и Карачаево-Черкессии» (ООО «МГЭС Ставрополья и КЧР»);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ОГРН 1090917001867, ИНН 0917014406;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Место нахождения:</w:t>
      </w:r>
      <w:r>
        <w:rPr>
          <w:b w:val="false"/>
          <w:sz w:val="26"/>
          <w:szCs w:val="26"/>
        </w:rPr>
        <w:t xml:space="preserve">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помещ.35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bCs/>
          <w:sz w:val="26"/>
          <w:szCs w:val="26"/>
        </w:rPr>
        <w:t xml:space="preserve">Адрес электронной почты: </w:t>
      </w:r>
      <w:r>
        <w:rPr>
          <w:rStyle w:val="Style8"/>
          <w:b/>
          <w:i w:val="false"/>
          <w:sz w:val="26"/>
          <w:szCs w:val="26"/>
          <w:shd w:fill="auto" w:val="clear"/>
        </w:rPr>
        <w:t>UK_GidroOGK-YuG@rushydro.ru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bCs/>
          <w:sz w:val="26"/>
          <w:szCs w:val="26"/>
        </w:rPr>
        <w:t xml:space="preserve">Контактный телефон: </w:t>
      </w:r>
      <w:r>
        <w:rPr>
          <w:rStyle w:val="Style8"/>
          <w:b/>
          <w:i w:val="false"/>
          <w:sz w:val="26"/>
          <w:szCs w:val="26"/>
          <w:shd w:fill="auto" w:val="clear"/>
        </w:rPr>
        <w:t>8(800)333 8000 / +7 (495) 122 0555 доб 00161-83</w:t>
      </w:r>
    </w:p>
    <w:p>
      <w:pPr>
        <w:pStyle w:val="Tableheader"/>
        <w:widowControl w:val="false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Организатор продажи:</w:t>
      </w:r>
      <w:r>
        <w:rPr>
          <w:b w:val="false"/>
          <w:sz w:val="26"/>
          <w:szCs w:val="26"/>
        </w:rPr>
        <w:t xml:space="preserve"> Наименование (полное и сокращенное): Общество с ограниченной ответственностью «Малые ГЭС Ставрополья и Карачаево-Черкессии» (ООО «МГЭС Ставрополья и КЧР»);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ОГРН 1090917001867, ИНН 0917014406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 xml:space="preserve">Место нахождения: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помещ.35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 xml:space="preserve">Почтовый адрес: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 35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>Адрес электронной почты: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i w:val="false"/>
          <w:sz w:val="26"/>
          <w:szCs w:val="26"/>
          <w:shd w:fill="auto" w:val="clear"/>
        </w:rPr>
        <w:t>UK_GidroOGK-YuG@rushydro.ru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>Контактный телефон: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i w:val="false"/>
          <w:sz w:val="26"/>
          <w:szCs w:val="26"/>
          <w:shd w:fill="auto" w:val="clear"/>
        </w:rPr>
        <w:t>8(800)333 8000 / +7 (495) 122 0555 доб 00161-83</w:t>
      </w:r>
    </w:p>
    <w:p>
      <w:pPr>
        <w:pStyle w:val="Tableheader"/>
        <w:rPr/>
      </w:pPr>
      <w:r>
        <w:rPr>
          <w:bCs/>
          <w:sz w:val="26"/>
          <w:szCs w:val="26"/>
        </w:rPr>
        <w:t>Пр</w:t>
      </w:r>
      <w:r>
        <w:rPr>
          <w:rStyle w:val="Style8"/>
          <w:b/>
          <w:bCs/>
          <w:i w:val="false"/>
          <w:color w:val="000000"/>
          <w:sz w:val="26"/>
          <w:szCs w:val="26"/>
          <w:shd w:fill="auto" w:val="clear"/>
        </w:rPr>
        <w:t xml:space="preserve">едмет продажи: 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i w:val="false"/>
          <w:color w:val="000000"/>
          <w:sz w:val="26"/>
          <w:szCs w:val="26"/>
          <w:shd w:fill="auto" w:val="clear"/>
        </w:rPr>
        <w:t>Оборудование - Модульная бетоносмесительная установка МБСУ-60.2 (Бетонно-обогатительное хозяйство).</w:t>
      </w:r>
    </w:p>
    <w:p>
      <w:pPr>
        <w:pStyle w:val="Normal"/>
        <w:rPr/>
      </w:pPr>
      <w:r>
        <w:rPr>
          <w:b/>
        </w:rPr>
        <w:t>Адрес местонахождения предмета продажи:</w:t>
      </w:r>
      <w:r>
        <w:rPr/>
        <w:t xml:space="preserve"> </w:t>
      </w:r>
    </w:p>
    <w:p>
      <w:pPr>
        <w:pStyle w:val="Normal"/>
        <w:spacing w:before="0" w:after="0"/>
        <w:rPr>
          <w:i/>
          <w:i/>
          <w:shd w:fill="FFFF99" w:val="clear"/>
        </w:rPr>
      </w:pPr>
      <w:r>
        <w:rPr>
          <w:rStyle w:val="Style8"/>
          <w:b w:val="false"/>
          <w:i w:val="false"/>
          <w:color w:val="000000"/>
          <w:shd w:fill="auto" w:val="clear"/>
        </w:rPr>
        <w:t>Республика Дагестан, Гергебильский р-н, с.Чалда.</w:t>
      </w:r>
    </w:p>
    <w:p>
      <w:pPr>
        <w:pStyle w:val="Normal"/>
        <w:rPr/>
      </w:pPr>
      <w:r>
        <w:rPr>
          <w:b/>
        </w:rPr>
        <w:t>Краткое описание Предмета продажи:</w:t>
      </w:r>
    </w:p>
    <w:p>
      <w:pPr>
        <w:pStyle w:val="Normal"/>
        <w:rPr/>
      </w:pPr>
      <w:r>
        <w:rPr/>
        <w:t>Бетоносмеситель</w:t>
      </w:r>
      <w:r>
        <w:rPr>
          <w:color w:val="000000"/>
        </w:rPr>
        <w:t>ная установка МБСУ 60.2 предназначена для изготовления бетонных смесей на строительных объектах. Климатическое исполнение установки- У, категории размещения - 1 по ГОСТ 15150. Установка рассчитана на круглогодичную эксплуатацию в районах с умеренным климато</w:t>
      </w:r>
      <w:r>
        <w:rPr/>
        <w:t>м при температуре окружающей среды не ниже минус 30С, при ветровой нагрузке до 55 кг/м и снеговой нагрузку до 150 кг/м и сейсмичности до 6 баллов по шкале Рихтера.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b/>
          <w:i/>
          <w:i/>
        </w:rPr>
      </w:pPr>
      <w:r>
        <w:rPr>
          <w:b/>
        </w:rPr>
        <w:t>Обременения:</w:t>
      </w:r>
      <w:r>
        <w:rPr/>
        <w:t xml:space="preserve"> «отсутствуют»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>: 1 829 085 (Один миллион восемьсот двадцать девять восемьдесят пять) рублей 00 копеек, в том числе НДС, исчисленного по ставке, установленной п. 3 ст. 164 НК РФ.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szCs w:val="28"/>
        </w:rPr>
      </w:pPr>
      <w:r>
        <w:rPr>
          <w:b/>
        </w:rPr>
        <w:t>«Шаг» аукциона:</w:t>
      </w:r>
      <w:r>
        <w:rPr/>
        <w:t xml:space="preserve"> 1% от начальной цены продажи, указанной в настоящем Извещении, что составляет 18290 (Восемнадцать тысяч двести девяносто) руб. 85 коп., с учетом НДС, исчисленного по ставке, установленной п. 3 ст. 164 НК РФ. </w:t>
      </w:r>
    </w:p>
    <w:p>
      <w:pPr>
        <w:pStyle w:val="Normal"/>
        <w:ind w:firstLine="540"/>
        <w:rPr/>
      </w:pPr>
      <w:r>
        <w:rPr>
          <w:b/>
        </w:rPr>
        <w:t>Дата и время начала подачи Заявок</w:t>
      </w:r>
      <w:r>
        <w:rPr/>
        <w:t>: «3</w:t>
      </w:r>
      <w:r>
        <w:rPr/>
        <w:t>1</w:t>
      </w:r>
      <w:r>
        <w:rPr/>
        <w:t>» марта 2026г. 15:00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окончания подачи Заявок</w:t>
      </w:r>
      <w:r>
        <w:rPr/>
        <w:t>:</w:t>
      </w:r>
      <w:r>
        <w:rPr>
          <w:i/>
        </w:rPr>
        <w:t xml:space="preserve"> </w:t>
      </w:r>
      <w:r>
        <w:rPr/>
        <w:t>«</w:t>
      </w:r>
      <w:r>
        <w:rPr/>
        <w:t>04</w:t>
      </w:r>
      <w:r>
        <w:rPr/>
        <w:t xml:space="preserve">» </w:t>
      </w:r>
      <w:r>
        <w:rPr/>
        <w:t>мая</w:t>
      </w:r>
      <w:r>
        <w:rPr/>
        <w:t xml:space="preserve"> 2026г. 17:00 (по московскому времени).</w:t>
      </w:r>
    </w:p>
    <w:p>
      <w:pPr>
        <w:pStyle w:val="Normal"/>
        <w:ind w:firstLine="540"/>
        <w:rPr>
          <w:b/>
          <w:i/>
          <w:i/>
        </w:rPr>
      </w:pPr>
      <w:r>
        <w:rPr>
          <w:b/>
        </w:rPr>
        <w:t>Дата окончания рассмотрения Заявок</w:t>
      </w:r>
      <w:r>
        <w:rPr/>
        <w:t>:</w:t>
      </w:r>
      <w:r>
        <w:rPr>
          <w:i/>
        </w:rPr>
        <w:t xml:space="preserve"> </w:t>
      </w:r>
      <w:r>
        <w:rPr/>
        <w:t>«0</w:t>
      </w:r>
      <w:r>
        <w:rPr/>
        <w:t>6</w:t>
      </w:r>
      <w:r>
        <w:rPr/>
        <w:t>» мая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проведения Аукциона:</w:t>
      </w:r>
      <w:r>
        <w:rPr/>
        <w:t xml:space="preserve"> «0</w:t>
      </w:r>
      <w:r>
        <w:rPr/>
        <w:t>7</w:t>
      </w:r>
      <w:r>
        <w:rPr/>
        <w:t>» мая 2026г. 11:00 (по московскому времени).</w:t>
      </w:r>
    </w:p>
    <w:p>
      <w:pPr>
        <w:pStyle w:val="Normal"/>
        <w:ind w:firstLine="540"/>
        <w:rPr/>
      </w:pPr>
      <w:r>
        <w:rPr>
          <w:b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подведения итогов Аукциона:</w:t>
      </w:r>
      <w:r>
        <w:rPr/>
        <w:t xml:space="preserve"> «</w:t>
      </w:r>
      <w:r>
        <w:rPr/>
        <w:t>12</w:t>
      </w:r>
      <w:r>
        <w:rPr/>
        <w:t>» мая 2026г. в 11:00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 xml:space="preserve">Место подведения итогов: </w:t>
      </w:r>
      <w:r>
        <w:rPr/>
        <w:t>по адресу Организатора продажи.</w:t>
      </w:r>
    </w:p>
    <w:p>
      <w:pPr>
        <w:pStyle w:val="Normal"/>
        <w:ind w:firstLine="540"/>
        <w:rPr/>
      </w:pPr>
      <w:r>
        <w:rPr>
          <w:b/>
        </w:rPr>
        <w:t>Наименование и адрес электронной торговой площадки для подачи Заявок:</w:t>
      </w:r>
      <w:r>
        <w:rPr/>
        <w:t xml:space="preserve"> Электронная торговая площадка: АО «Российский аукционный дом» (АО «РАД) www.lot-online.ru</w:t>
      </w:r>
    </w:p>
    <w:p>
      <w:pPr>
        <w:pStyle w:val="Normal"/>
        <w:ind w:firstLine="540"/>
        <w:rPr/>
      </w:pPr>
      <w:r>
        <w:rPr>
          <w:b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>Документация о продаже официально опубликована на сайте электронной торговой площадки в сети «Интернет» www.lot-online.ru</w:t>
      </w:r>
    </w:p>
    <w:sectPr>
      <w:footerReference w:type="default" r:id="rId2"/>
      <w:type w:val="nextPage"/>
      <w:pgSz w:w="11906" w:h="16838"/>
      <w:pgMar w:left="1134" w:right="656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10260" w:leader="none"/>
      </w:tabs>
      <w:spacing w:before="120" w:after="0"/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PAGE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2</w:t>
    </w:r>
    <w:r>
      <w:rPr>
        <w:sz w:val="24"/>
        <w:i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NUMPAGES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2</w:t>
    </w:r>
    <w:r>
      <w:rPr>
        <w:sz w:val="24"/>
        <w:i/>
        <w:szCs w:val="24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等线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d1a9d"/>
    <w:rPr>
      <w:rFonts w:ascii="Segoe UI" w:hAnsi="Segoe UI" w:eastAsia="Times New Roman" w:cs="Segoe UI"/>
      <w:sz w:val="18"/>
      <w:szCs w:val="18"/>
    </w:rPr>
  </w:style>
  <w:style w:type="character" w:styleId="Linenumber1">
    <w:name w:val="line number1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91edb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a91edb"/>
    <w:rPr>
      <w:rFonts w:ascii="Times New Roman" w:hAnsi="Times New Roman" w:eastAsia="Times New Roman" w:cs="Times New Roman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a91edb"/>
    <w:rPr>
      <w:rFonts w:ascii="Times New Roman" w:hAnsi="Times New Roman" w:eastAsia="Times New Roman" w:cs="Times New Roman"/>
      <w:b/>
      <w:bCs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0"/>
    </w:pPr>
    <w:rPr>
      <w:sz w:val="20"/>
      <w:szCs w:val="20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18" w:customStyle="1">
    <w:name w:val="Пункт"/>
    <w:basedOn w:val="Normal"/>
    <w:qFormat/>
    <w:pPr>
      <w:numPr>
        <w:ilvl w:val="2"/>
        <w:numId w:val="2"/>
      </w:numPr>
    </w:pPr>
    <w:rPr/>
  </w:style>
  <w:style w:type="paragraph" w:styleId="Style19" w:customStyle="1">
    <w:name w:val="Подпункт"/>
    <w:basedOn w:val="Style18"/>
    <w:qFormat/>
    <w:pPr>
      <w:numPr>
        <w:ilvl w:val="3"/>
      </w:numPr>
    </w:pPr>
    <w:rPr/>
  </w:style>
  <w:style w:type="paragraph" w:styleId="Style20" w:customStyle="1">
    <w:name w:val="Подподпункт"/>
    <w:basedOn w:val="Style19"/>
    <w:qFormat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pPr/>
    <w:rPr>
      <w:b/>
      <w:sz w:val="20"/>
      <w:szCs w:val="24"/>
    </w:rPr>
  </w:style>
  <w:style w:type="paragraph" w:styleId="Tabletext" w:customStyle="1">
    <w:name w:val="Table_text"/>
    <w:basedOn w:val="Normal"/>
    <w:qFormat/>
    <w:pPr/>
    <w:rPr>
      <w:sz w:val="20"/>
      <w:szCs w:val="24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d1a9d"/>
    <w:pPr>
      <w:spacing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a91ed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a91edb"/>
    <w:pPr/>
    <w:rPr>
      <w:b/>
      <w:bCs/>
    </w:rPr>
  </w:style>
  <w:style w:type="paragraph" w:styleId="Revision">
    <w:name w:val="Revision"/>
    <w:uiPriority w:val="99"/>
    <w:semiHidden/>
    <w:qFormat/>
    <w:rsid w:val="00a91ed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4"/>
    <w:uiPriority w:val="59"/>
    <w:pPr>
      <w:spacing w:before="120"/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AlterOffice/3.4.0.9$Linux_X86_64 LibreOffice_project/b8daf9e823b1a5463a2f48435ddc2e8696e7d4fc</Application>
  <AppVersion>15.0000</AppVersion>
  <Pages>2</Pages>
  <Words>522</Words>
  <Characters>3586</Characters>
  <CharactersWithSpaces>4077</CharactersWithSpaces>
  <Paragraphs>41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2025-12-03T08:48:00Z</dcterms:created>
  <dc:creator>Грибова Елена Владимировна</dc:creator>
  <dc:description/>
  <dc:language>ru-RU</dc:language>
  <cp:lastModifiedBy>apsuvaevako@corp.gidroogk.com</cp:lastModifiedBy>
  <dcterms:modified xsi:type="dcterms:W3CDTF">2026-03-31T08:13:46Z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9D7BEA432FC14971BA2E5B7A2D63D32B_13</vt:lpwstr>
  </property>
  <property fmtid="{D5CDD505-2E9C-101B-9397-08002B2CF9AE}" pid="3" name="KSOProductBuildVer">
    <vt:lpwstr>1049-12.2.0.23155</vt:lpwstr>
  </property>
</Properties>
</file>