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5E4381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</w:t>
            </w:r>
            <w:r w:rsidR="0061455B">
              <w:rPr>
                <w:color w:val="000000" w:themeColor="text1"/>
                <w:szCs w:val="24"/>
              </w:rPr>
              <w:t xml:space="preserve">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2969FA" w:rsidRPr="00EB3B08" w:rsidRDefault="0061455B" w:rsidP="002969FA">
      <w:pPr>
        <w:pStyle w:val="afa"/>
        <w:spacing w:after="12" w:line="240" w:lineRule="auto"/>
        <w:ind w:left="180"/>
        <w:jc w:val="center"/>
        <w:rPr>
          <w:szCs w:val="24"/>
        </w:rPr>
      </w:pPr>
      <w:r>
        <w:rPr>
          <w:b/>
          <w:sz w:val="28"/>
        </w:rPr>
        <w:t>В ПРИЛОЖЕНИЕ № 1 ДОКУМЕНТАЦИИ ОБ АУКЦИОНЕ</w:t>
      </w:r>
    </w:p>
    <w:p w:rsidR="006D28FA" w:rsidRPr="003B1D60" w:rsidRDefault="006D28FA" w:rsidP="006D28FA">
      <w:pPr>
        <w:jc w:val="center"/>
        <w:rPr>
          <w:szCs w:val="24"/>
        </w:rPr>
      </w:pPr>
      <w:r w:rsidRPr="003B1D60">
        <w:rPr>
          <w:szCs w:val="24"/>
        </w:rPr>
        <w:t xml:space="preserve">на право заключения договора аренды нежилого помещения </w:t>
      </w:r>
      <w:r w:rsidRPr="003B1D60">
        <w:rPr>
          <w:szCs w:val="24"/>
        </w:rPr>
        <w:br/>
        <w:t xml:space="preserve">площадью 74,80 кв. м, расположенного по адресу: Российская Федерация, </w:t>
      </w:r>
    </w:p>
    <w:p w:rsidR="006D28FA" w:rsidRDefault="006D28FA" w:rsidP="006D28FA">
      <w:pPr>
        <w:jc w:val="center"/>
        <w:rPr>
          <w:szCs w:val="24"/>
        </w:rPr>
      </w:pPr>
      <w:r w:rsidRPr="003B1D60">
        <w:rPr>
          <w:szCs w:val="24"/>
        </w:rPr>
        <w:t xml:space="preserve">город Москва, вн.тер.г. муниципальный округ Ломоносовский, </w:t>
      </w:r>
      <w:r w:rsidRPr="003B1D60">
        <w:rPr>
          <w:szCs w:val="24"/>
        </w:rPr>
        <w:br/>
        <w:t xml:space="preserve">улица Марии Ульяновой, </w:t>
      </w:r>
      <w:r w:rsidRPr="003B1D60">
        <w:rPr>
          <w:spacing w:val="-2"/>
          <w:szCs w:val="24"/>
        </w:rPr>
        <w:t>дом 17, корпус 3, помещение 8Ц</w:t>
      </w:r>
    </w:p>
    <w:p w:rsidR="00927CB3" w:rsidRPr="000B5448" w:rsidRDefault="00927CB3" w:rsidP="00927CB3">
      <w:pPr>
        <w:suppressAutoHyphens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495E20" w:rsidP="00495E20">
      <w:r>
        <w:t xml:space="preserve">                                                                           </w:t>
      </w:r>
      <w:r w:rsidR="0061455B"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70DAE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B70DAE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5E438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5E4381" w:rsidP="005E4381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15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5E438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7F00BF">
              <w:rPr>
                <w:b/>
                <w:szCs w:val="24"/>
              </w:rPr>
              <w:t>1.04</w:t>
            </w:r>
            <w:r w:rsidR="0061455B">
              <w:rPr>
                <w:b/>
                <w:szCs w:val="24"/>
              </w:rPr>
              <w:t>.2026 в 11-00 часов</w:t>
            </w:r>
            <w:r w:rsidR="0061455B">
              <w:rPr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5E4381" w:rsidP="007F00BF">
            <w:pPr>
              <w:widowControl w:val="0"/>
              <w:ind w:right="-57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7F00BF">
              <w:rPr>
                <w:b/>
                <w:szCs w:val="24"/>
              </w:rPr>
              <w:t>2</w:t>
            </w:r>
            <w:r w:rsidR="0061455B">
              <w:rPr>
                <w:b/>
                <w:szCs w:val="24"/>
              </w:rPr>
              <w:t>.0</w:t>
            </w:r>
            <w:r w:rsidR="007F00BF"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</w:t>
            </w:r>
            <w:r w:rsidR="00C1179F">
              <w:rPr>
                <w:b/>
                <w:szCs w:val="24"/>
              </w:rPr>
              <w:t xml:space="preserve"> </w:t>
            </w:r>
            <w:r w:rsidR="00C1179F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B70DAE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5E4381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2</w:t>
            </w:r>
            <w:bookmarkStart w:id="0" w:name="_GoBack"/>
            <w:bookmarkEnd w:id="0"/>
            <w:r w:rsidR="007F00BF">
              <w:rPr>
                <w:b/>
                <w:szCs w:val="24"/>
              </w:rPr>
              <w:t>3.04</w:t>
            </w:r>
            <w:r w:rsidR="0061455B">
              <w:rPr>
                <w:b/>
                <w:szCs w:val="24"/>
              </w:rPr>
              <w:t>.2026</w:t>
            </w:r>
            <w:r w:rsidR="0061455B">
              <w:rPr>
                <w:b/>
                <w:color w:val="C9211E"/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5A4B09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 w:rsidRPr="003B1D60">
              <w:rPr>
                <w:szCs w:val="24"/>
              </w:rPr>
              <w:t xml:space="preserve">Адрес: Москва, улица Марии Ульяновой, </w:t>
            </w:r>
            <w:r w:rsidRPr="003B1D60">
              <w:rPr>
                <w:spacing w:val="-2"/>
                <w:szCs w:val="24"/>
              </w:rPr>
              <w:t>дом 17, корпус 3, помещение 8Ц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5" w:rsidRPr="00BF0693" w:rsidRDefault="003C28E5" w:rsidP="003C28E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3B1D60">
              <w:rPr>
                <w:szCs w:val="24"/>
              </w:rPr>
              <w:t>аукциона: 74,80 кв. м.</w:t>
            </w:r>
            <w:r>
              <w:rPr>
                <w:szCs w:val="24"/>
              </w:rPr>
              <w:t xml:space="preserve"> Нежилые комнаты №1, 3-9Б входящие в состав помещения </w:t>
            </w:r>
            <w:r>
              <w:rPr>
                <w:szCs w:val="24"/>
                <w:lang w:val="en-US"/>
              </w:rPr>
              <w:t>VIII</w:t>
            </w:r>
            <w:r>
              <w:rPr>
                <w:szCs w:val="24"/>
              </w:rPr>
              <w:t xml:space="preserve"> на поэтажном плане цокольный этаж.</w:t>
            </w:r>
          </w:p>
          <w:p w:rsidR="003C28E5" w:rsidRPr="003B1D60" w:rsidRDefault="003C28E5" w:rsidP="003C28E5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3B1D60">
              <w:rPr>
                <w:spacing w:val="-2"/>
                <w:szCs w:val="24"/>
              </w:rPr>
              <w:t>Кадастровый номер помещения объекта аукциона: 77:06:0001007:7124</w:t>
            </w:r>
          </w:p>
          <w:p w:rsidR="00637AC3" w:rsidRDefault="003C28E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 w:rsidRPr="003B1D60">
              <w:rPr>
                <w:spacing w:val="-2"/>
                <w:szCs w:val="24"/>
              </w:rPr>
              <w:t>Технические</w:t>
            </w:r>
            <w:r>
              <w:rPr>
                <w:spacing w:val="-2"/>
                <w:szCs w:val="24"/>
              </w:rPr>
              <w:t xml:space="preserve">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  <w:r w:rsidR="00B453DE"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637AC3" w:rsidRDefault="003C28E5">
            <w:pPr>
              <w:widowControl w:val="0"/>
              <w:ind w:left="-57" w:right="-57"/>
              <w:rPr>
                <w:szCs w:val="24"/>
              </w:rPr>
            </w:pPr>
            <w:r w:rsidRPr="003B1D60">
              <w:rPr>
                <w:szCs w:val="24"/>
              </w:rPr>
              <w:t>от 09.12.2025 № 25-168/16-И</w:t>
            </w:r>
            <w:r w:rsidR="0061455B">
              <w:rPr>
                <w:szCs w:val="24"/>
              </w:rPr>
              <w:t xml:space="preserve">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копейки, включая налог на добавленную стоимость (НДС), без учета эксплуатационных расходов и коммунальных платежей.</w:t>
            </w:r>
          </w:p>
          <w:p w:rsidR="00B453DE" w:rsidRDefault="00B453DE" w:rsidP="00B453DE">
            <w:pPr>
              <w:widowControl w:val="0"/>
              <w:jc w:val="both"/>
            </w:pPr>
          </w:p>
          <w:p w:rsidR="007A576B" w:rsidRDefault="007A576B" w:rsidP="007A576B">
            <w:pPr>
              <w:widowControl w:val="0"/>
              <w:jc w:val="both"/>
            </w:pPr>
          </w:p>
          <w:p w:rsidR="005A4B09" w:rsidRDefault="005A4B09" w:rsidP="005A4B09">
            <w:pPr>
              <w:widowControl w:val="0"/>
              <w:jc w:val="both"/>
            </w:pPr>
          </w:p>
          <w:p w:rsidR="0098782D" w:rsidRDefault="0098782D" w:rsidP="0098782D">
            <w:pPr>
              <w:widowControl w:val="0"/>
              <w:jc w:val="both"/>
            </w:pPr>
          </w:p>
          <w:p w:rsidR="002969FA" w:rsidRDefault="002969FA" w:rsidP="002969FA">
            <w:pPr>
              <w:widowControl w:val="0"/>
              <w:jc w:val="both"/>
            </w:pPr>
          </w:p>
          <w:p w:rsidR="00637AC3" w:rsidRDefault="0026437E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7A576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3 </w:t>
            </w:r>
            <w:r w:rsidRPr="003B1D60">
              <w:rPr>
                <w:szCs w:val="24"/>
              </w:rPr>
              <w:t>9</w:t>
            </w:r>
            <w:r>
              <w:rPr>
                <w:szCs w:val="24"/>
              </w:rPr>
              <w:t>54</w:t>
            </w:r>
            <w:r w:rsidRPr="003B1D60">
              <w:rPr>
                <w:szCs w:val="24"/>
              </w:rPr>
              <w:t xml:space="preserve"> (Три тысячи </w:t>
            </w:r>
            <w:r>
              <w:rPr>
                <w:szCs w:val="24"/>
              </w:rPr>
              <w:t>де</w:t>
            </w:r>
            <w:r w:rsidRPr="003B1D60">
              <w:rPr>
                <w:szCs w:val="24"/>
              </w:rPr>
              <w:t>в</w:t>
            </w:r>
            <w:r>
              <w:rPr>
                <w:szCs w:val="24"/>
              </w:rPr>
              <w:t>ят</w:t>
            </w:r>
            <w:r w:rsidRPr="003B1D60">
              <w:rPr>
                <w:szCs w:val="24"/>
              </w:rPr>
              <w:t xml:space="preserve">ьсот </w:t>
            </w:r>
            <w:r>
              <w:rPr>
                <w:szCs w:val="24"/>
              </w:rPr>
              <w:t>пятьдесят четыре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45</w:t>
            </w:r>
            <w:r w:rsidRPr="003B1D60">
              <w:rPr>
                <w:szCs w:val="24"/>
              </w:rPr>
              <w:t xml:space="preserve"> копеек.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</w:t>
            </w:r>
            <w:r w:rsidRPr="003B1D60">
              <w:rPr>
                <w:szCs w:val="24"/>
              </w:rPr>
              <w:t>. НДС</w:t>
            </w:r>
            <w:r>
              <w:rPr>
                <w:szCs w:val="24"/>
              </w:rPr>
              <w:t xml:space="preserve"> не облагается.</w:t>
            </w:r>
          </w:p>
          <w:p w:rsidR="003C28E5" w:rsidRDefault="003C28E5" w:rsidP="003C28E5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 xml:space="preserve">по </w:t>
            </w:r>
            <w:r w:rsidRPr="003B1D60">
              <w:rPr>
                <w:spacing w:val="-2"/>
                <w:szCs w:val="24"/>
              </w:rPr>
              <w:t xml:space="preserve">адресу: Москва, </w:t>
            </w:r>
            <w:r w:rsidRPr="003B1D60">
              <w:rPr>
                <w:szCs w:val="24"/>
              </w:rPr>
              <w:t xml:space="preserve">улица Марии Ульяновой, </w:t>
            </w:r>
            <w:r w:rsidRPr="003B1D60">
              <w:rPr>
                <w:spacing w:val="-2"/>
                <w:szCs w:val="24"/>
              </w:rPr>
              <w:t>дом 17, корпус 3, помещение 8Ц, площадью 74,80 кв. м, аукцион</w:t>
            </w:r>
            <w:r>
              <w:rPr>
                <w:spacing w:val="-2"/>
                <w:szCs w:val="24"/>
              </w:rPr>
              <w:t xml:space="preserve"> «_____» _________ 20__ года»</w:t>
            </w:r>
          </w:p>
          <w:p w:rsidR="003C28E5" w:rsidRDefault="003C28E5" w:rsidP="003C28E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3C28E5" w:rsidRDefault="003C28E5" w:rsidP="003C28E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3C28E5" w:rsidRDefault="003C28E5" w:rsidP="003C28E5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3C28E5" w:rsidRDefault="003C28E5" w:rsidP="003C28E5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3C28E5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копейки, формируется из суммы внесенного задатка для участия в аукционе.</w:t>
            </w:r>
          </w:p>
          <w:p w:rsidR="00637AC3" w:rsidRDefault="003C28E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AE" w:rsidRDefault="00B70DAE">
      <w:r>
        <w:separator/>
      </w:r>
    </w:p>
  </w:endnote>
  <w:endnote w:type="continuationSeparator" w:id="0">
    <w:p w:rsidR="00B70DAE" w:rsidRDefault="00B7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AE" w:rsidRDefault="00B70DAE">
      <w:r>
        <w:separator/>
      </w:r>
    </w:p>
  </w:footnote>
  <w:footnote w:type="continuationSeparator" w:id="0">
    <w:p w:rsidR="00B70DAE" w:rsidRDefault="00B7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5E4381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5E4381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A2C0B"/>
    <w:rsid w:val="00127D71"/>
    <w:rsid w:val="0026437E"/>
    <w:rsid w:val="002969FA"/>
    <w:rsid w:val="002E4BDA"/>
    <w:rsid w:val="003C28E5"/>
    <w:rsid w:val="00495E20"/>
    <w:rsid w:val="005A4B09"/>
    <w:rsid w:val="005E4381"/>
    <w:rsid w:val="0061455B"/>
    <w:rsid w:val="006367D5"/>
    <w:rsid w:val="00637AC3"/>
    <w:rsid w:val="00673411"/>
    <w:rsid w:val="00680005"/>
    <w:rsid w:val="006D28FA"/>
    <w:rsid w:val="007104BD"/>
    <w:rsid w:val="0071194A"/>
    <w:rsid w:val="00746E87"/>
    <w:rsid w:val="00755EBC"/>
    <w:rsid w:val="007A576B"/>
    <w:rsid w:val="007F00BF"/>
    <w:rsid w:val="00836E2D"/>
    <w:rsid w:val="008447A6"/>
    <w:rsid w:val="0088702B"/>
    <w:rsid w:val="0091292B"/>
    <w:rsid w:val="00927CB3"/>
    <w:rsid w:val="009706E5"/>
    <w:rsid w:val="0098782D"/>
    <w:rsid w:val="00991A87"/>
    <w:rsid w:val="009E5067"/>
    <w:rsid w:val="00B333FC"/>
    <w:rsid w:val="00B453DE"/>
    <w:rsid w:val="00B70DAE"/>
    <w:rsid w:val="00C1179F"/>
    <w:rsid w:val="00C81C05"/>
    <w:rsid w:val="00CB3EB9"/>
    <w:rsid w:val="00CE302C"/>
    <w:rsid w:val="00DE7345"/>
    <w:rsid w:val="00EA38E2"/>
    <w:rsid w:val="00E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578F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43</cp:revision>
  <cp:lastPrinted>2024-10-11T13:39:00Z</cp:lastPrinted>
  <dcterms:created xsi:type="dcterms:W3CDTF">2025-12-18T08:00:00Z</dcterms:created>
  <dcterms:modified xsi:type="dcterms:W3CDTF">2026-03-23T08:23:00Z</dcterms:modified>
  <dc:language>ru-RU</dc:language>
</cp:coreProperties>
</file>