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3186609" w14:textId="77777777" w:rsidR="00AD6A20" w:rsidRDefault="00610DEC">
      <w:pPr>
        <w:pStyle w:val="1a"/>
        <w:jc w:val="right"/>
        <w:rPr>
          <w:sz w:val="22"/>
          <w:szCs w:val="22"/>
        </w:rPr>
      </w:pPr>
      <w:r>
        <w:rPr>
          <w:b w:val="0"/>
          <w:sz w:val="22"/>
          <w:szCs w:val="22"/>
        </w:rPr>
        <w:t xml:space="preserve">Приложение № 1 </w:t>
      </w:r>
    </w:p>
    <w:p w14:paraId="5A0F1EA4" w14:textId="77777777" w:rsidR="00AD6A20" w:rsidRDefault="00610DEC">
      <w:pPr>
        <w:ind w:right="-57"/>
        <w:jc w:val="right"/>
        <w:rPr>
          <w:sz w:val="22"/>
          <w:szCs w:val="22"/>
        </w:rPr>
      </w:pPr>
      <w:r>
        <w:rPr>
          <w:sz w:val="22"/>
          <w:szCs w:val="22"/>
        </w:rPr>
        <w:t>к Оферте</w:t>
      </w:r>
    </w:p>
    <w:p w14:paraId="11175C57" w14:textId="77777777" w:rsidR="00AD6A20" w:rsidRDefault="00610DEC">
      <w:pPr>
        <w:pStyle w:val="1a"/>
        <w:rPr>
          <w:sz w:val="22"/>
          <w:szCs w:val="22"/>
        </w:rPr>
      </w:pPr>
      <w:r>
        <w:rPr>
          <w:sz w:val="22"/>
          <w:szCs w:val="22"/>
        </w:rPr>
        <w:t>Договор о задатке №____</w:t>
      </w:r>
    </w:p>
    <w:p w14:paraId="483E2928" w14:textId="77777777" w:rsidR="00AD6A20" w:rsidRDefault="00610DEC">
      <w:pPr>
        <w:pStyle w:val="1a"/>
        <w:rPr>
          <w:sz w:val="22"/>
          <w:szCs w:val="22"/>
        </w:rPr>
      </w:pPr>
      <w:r>
        <w:rPr>
          <w:b w:val="0"/>
          <w:bCs w:val="0"/>
          <w:spacing w:val="30"/>
          <w:sz w:val="22"/>
          <w:szCs w:val="22"/>
        </w:rPr>
        <w:t>(договор присоединения)</w:t>
      </w:r>
    </w:p>
    <w:p w14:paraId="13BDBC2D" w14:textId="77777777" w:rsidR="00AD6A20" w:rsidRDefault="00AD6A20">
      <w:pPr>
        <w:pStyle w:val="1a"/>
        <w:rPr>
          <w:b w:val="0"/>
          <w:bCs w:val="0"/>
          <w:spacing w:val="30"/>
          <w:sz w:val="22"/>
          <w:szCs w:val="22"/>
        </w:rPr>
      </w:pPr>
    </w:p>
    <w:p w14:paraId="70E8B940" w14:textId="4A6B01CC" w:rsidR="00AD6A20" w:rsidRDefault="00610DEC">
      <w:pPr>
        <w:shd w:val="clear" w:color="auto" w:fill="FFFFFF"/>
        <w:tabs>
          <w:tab w:val="left" w:pos="1145"/>
        </w:tabs>
        <w:jc w:val="both"/>
        <w:rPr>
          <w:sz w:val="22"/>
          <w:szCs w:val="22"/>
        </w:rPr>
      </w:pPr>
      <w:r>
        <w:rPr>
          <w:b/>
          <w:sz w:val="22"/>
          <w:szCs w:val="22"/>
        </w:rPr>
        <w:t>Акционерное общество «Российский аукционный дом»,</w:t>
      </w:r>
      <w:r>
        <w:rPr>
          <w:sz w:val="22"/>
          <w:szCs w:val="22"/>
        </w:rPr>
        <w:t xml:space="preserve"> именуемое в дальнейшем «Оператор электронной площадки», в лице Заместителя генерального директора Канцеровой Елены Владимировны, действующей на основании Доверенности от 01.01.202</w:t>
      </w:r>
      <w:r w:rsidR="00A73499">
        <w:rPr>
          <w:sz w:val="22"/>
          <w:szCs w:val="22"/>
        </w:rPr>
        <w:t>6</w:t>
      </w:r>
      <w:r>
        <w:rPr>
          <w:sz w:val="22"/>
          <w:szCs w:val="22"/>
        </w:rPr>
        <w:t xml:space="preserve"> № Д-0</w:t>
      </w:r>
      <w:r w:rsidR="00A73499">
        <w:rPr>
          <w:sz w:val="22"/>
          <w:szCs w:val="22"/>
        </w:rPr>
        <w:t>03</w:t>
      </w:r>
      <w:r>
        <w:rPr>
          <w:sz w:val="22"/>
          <w:szCs w:val="22"/>
        </w:rPr>
        <w:t>, и присоединившийся к настоящему Договору</w:t>
      </w:r>
      <w:r>
        <w:rPr>
          <w:b/>
          <w:bCs/>
          <w:sz w:val="22"/>
          <w:szCs w:val="22"/>
        </w:rPr>
        <w:t xml:space="preserve"> </w:t>
      </w:r>
      <w:r>
        <w:rPr>
          <w:sz w:val="22"/>
          <w:szCs w:val="22"/>
        </w:rPr>
        <w:t>претендент</w:t>
      </w:r>
      <w:r>
        <w:rPr>
          <w:b/>
          <w:sz w:val="22"/>
          <w:szCs w:val="22"/>
        </w:rPr>
        <w:t xml:space="preserve"> </w:t>
      </w:r>
      <w:r>
        <w:rPr>
          <w:sz w:val="22"/>
          <w:szCs w:val="22"/>
        </w:rPr>
        <w:t xml:space="preserve">_________________________________________________________________________________________________________________________________________________________________________________________________________________________________________________на участие в торгах по продаже, именуемый в дальнейшем </w:t>
      </w:r>
      <w:r>
        <w:rPr>
          <w:b/>
          <w:sz w:val="22"/>
          <w:szCs w:val="22"/>
        </w:rPr>
        <w:t xml:space="preserve">«Претендент», </w:t>
      </w:r>
      <w:r>
        <w:rPr>
          <w:sz w:val="22"/>
          <w:szCs w:val="22"/>
        </w:rPr>
        <w:t>совместно именуемые «Стороны», в соответствии с требованиями ст.ст.380, 381, 428 ГК РФ, заключили настоящий Договор (далее – Договор) о нижеследующем:</w:t>
      </w:r>
    </w:p>
    <w:p w14:paraId="2B17C137" w14:textId="1B6D197C" w:rsidR="00AD6A20" w:rsidRDefault="00610DEC">
      <w:pPr>
        <w:numPr>
          <w:ilvl w:val="0"/>
          <w:numId w:val="1"/>
        </w:numPr>
        <w:ind w:left="0" w:firstLine="624"/>
        <w:jc w:val="both"/>
        <w:rPr>
          <w:sz w:val="22"/>
          <w:szCs w:val="22"/>
        </w:rPr>
      </w:pPr>
      <w:r>
        <w:rPr>
          <w:sz w:val="22"/>
          <w:szCs w:val="22"/>
        </w:rPr>
        <w:t>В соответствии с условиями настоящего Договора Претендент для участия в торгах в форме аукциона, открытого по составу участников и открытого по форме подачи предложений по цене с применением метода по</w:t>
      </w:r>
      <w:r w:rsidR="00A73499">
        <w:rPr>
          <w:sz w:val="22"/>
          <w:szCs w:val="22"/>
        </w:rPr>
        <w:t>нижения</w:t>
      </w:r>
      <w:r>
        <w:rPr>
          <w:sz w:val="22"/>
          <w:szCs w:val="22"/>
        </w:rPr>
        <w:t xml:space="preserve"> начальной цены («</w:t>
      </w:r>
      <w:r w:rsidR="00A73499">
        <w:rPr>
          <w:sz w:val="22"/>
          <w:szCs w:val="22"/>
        </w:rPr>
        <w:t>голландский</w:t>
      </w:r>
      <w:r>
        <w:rPr>
          <w:sz w:val="22"/>
          <w:szCs w:val="22"/>
        </w:rPr>
        <w:t xml:space="preserve"> аукцион») по продаже следующего имущества (далее- Имущество):</w:t>
      </w:r>
    </w:p>
    <w:p w14:paraId="495C2349" w14:textId="77777777" w:rsidR="00AD6A20" w:rsidRDefault="00610DEC">
      <w:pPr>
        <w:ind w:right="-57" w:firstLine="567"/>
        <w:jc w:val="both"/>
        <w:rPr>
          <w:sz w:val="22"/>
          <w:szCs w:val="22"/>
        </w:rPr>
      </w:pPr>
      <w:r>
        <w:rPr>
          <w:sz w:val="22"/>
          <w:szCs w:val="22"/>
        </w:rPr>
        <w:tab/>
        <w:t xml:space="preserve">Объект 1: </w:t>
      </w:r>
      <w:r>
        <w:rPr>
          <w:sz w:val="22"/>
          <w:szCs w:val="22"/>
          <w:shd w:val="clear" w:color="auto" w:fill="FFFFFF"/>
        </w:rPr>
        <w:t xml:space="preserve">Здание </w:t>
      </w:r>
      <w:r>
        <w:rPr>
          <w:sz w:val="22"/>
          <w:szCs w:val="22"/>
        </w:rPr>
        <w:t>с кадастровым номером 77:06:0002008:1024, количество этажей, в том числе подземных этажей: 1, адрес: Российская Федерация, город Москва, вн.тер.г. муниципальный округ Академический, улица Карьер, дом 2А, строение 4, площадью 111.9 кв.м., назначение: нежилое, наименование: здание, право собственности зарегистрировано 14.11.2024  за  № 77:06:0002008:1024-77/051/2024-21.</w:t>
      </w:r>
    </w:p>
    <w:p w14:paraId="6EC28C38" w14:textId="77777777" w:rsidR="00AD6A20" w:rsidRDefault="00610DEC">
      <w:pPr>
        <w:ind w:right="-57"/>
        <w:jc w:val="both"/>
        <w:rPr>
          <w:sz w:val="22"/>
          <w:szCs w:val="22"/>
          <w:shd w:val="clear" w:color="auto" w:fill="FFFFFF"/>
        </w:rPr>
      </w:pPr>
      <w:r>
        <w:rPr>
          <w:sz w:val="22"/>
          <w:szCs w:val="22"/>
        </w:rPr>
        <w:tab/>
      </w:r>
      <w:r>
        <w:rPr>
          <w:sz w:val="22"/>
          <w:szCs w:val="22"/>
          <w:shd w:val="clear" w:color="auto" w:fill="FFFFFF"/>
        </w:rPr>
        <w:t>Обременения (ограничения) Объекта 1: не зарегистрированы;</w:t>
      </w:r>
    </w:p>
    <w:p w14:paraId="388A4558" w14:textId="77777777" w:rsidR="00AD6A20" w:rsidRDefault="00610DEC">
      <w:pPr>
        <w:ind w:right="-57"/>
        <w:jc w:val="both"/>
        <w:rPr>
          <w:sz w:val="22"/>
          <w:szCs w:val="22"/>
          <w:shd w:val="clear" w:color="auto" w:fill="FFFFFF"/>
        </w:rPr>
      </w:pPr>
      <w:r>
        <w:rPr>
          <w:sz w:val="22"/>
          <w:szCs w:val="22"/>
          <w:shd w:val="clear" w:color="auto" w:fill="FFFFFF"/>
        </w:rPr>
        <w:tab/>
        <w:t xml:space="preserve">Объект 2: Здание </w:t>
      </w:r>
      <w:r>
        <w:rPr>
          <w:sz w:val="22"/>
          <w:szCs w:val="22"/>
        </w:rPr>
        <w:t>с кадастровым номером 77:06:0002008:1048, количество этажей, в том числе подземных этажей: 2, адрес: Российская Федерация, город Москва, вн. тер. г. муниципальный округ Академический, улица Карьер, дом 2А, строение 3, площадью 923.4 кв.м., назначение: нежилое, наименование: здание, право собственности зарегистрировано 14.11.2024 за № 77:06:0002008:1048-77/051/2024-21.</w:t>
      </w:r>
    </w:p>
    <w:p w14:paraId="2B930455" w14:textId="77777777" w:rsidR="00AD6A20" w:rsidRDefault="00610DEC">
      <w:pPr>
        <w:ind w:right="-57"/>
        <w:jc w:val="both"/>
        <w:rPr>
          <w:sz w:val="22"/>
          <w:szCs w:val="22"/>
          <w:shd w:val="clear" w:color="auto" w:fill="FFFFFF"/>
        </w:rPr>
      </w:pPr>
      <w:r>
        <w:rPr>
          <w:sz w:val="22"/>
          <w:szCs w:val="22"/>
        </w:rPr>
        <w:tab/>
      </w:r>
      <w:r>
        <w:rPr>
          <w:sz w:val="22"/>
          <w:szCs w:val="22"/>
          <w:shd w:val="clear" w:color="auto" w:fill="FFFFFF"/>
        </w:rPr>
        <w:t>Обременения (ограничения) Объекта 2: не зарегистрированы;</w:t>
      </w:r>
    </w:p>
    <w:p w14:paraId="4219EFAB" w14:textId="77777777" w:rsidR="00AD6A20" w:rsidRDefault="00610DEC">
      <w:pPr>
        <w:ind w:right="-57"/>
        <w:jc w:val="both"/>
        <w:rPr>
          <w:sz w:val="22"/>
          <w:szCs w:val="22"/>
        </w:rPr>
      </w:pPr>
      <w:r>
        <w:rPr>
          <w:sz w:val="22"/>
          <w:szCs w:val="22"/>
          <w:shd w:val="clear" w:color="auto" w:fill="FFFFFF"/>
        </w:rPr>
        <w:tab/>
        <w:t xml:space="preserve">Объект 3: Здание </w:t>
      </w:r>
      <w:r>
        <w:rPr>
          <w:sz w:val="22"/>
          <w:szCs w:val="22"/>
        </w:rPr>
        <w:t>с кадастровым номером 77:06:0002008:1155, количество этажей, в том числе подземных этажей: 1, адрес: Российская Федерация, город Москва, вн.тер.г. муниципальный округ Академический, улица Карьер, дом 2А, строение 6, площадью 335.2 кв.м., назначение: нежилое, наименование: здание, право собственности зарегистрирована 14.11.2024 за № 77:06:0002008:1155-77/051/2024-19.</w:t>
      </w:r>
    </w:p>
    <w:p w14:paraId="780C5533" w14:textId="77777777" w:rsidR="00AD6A20" w:rsidRDefault="00610DEC">
      <w:pPr>
        <w:ind w:right="-57"/>
        <w:jc w:val="both"/>
        <w:rPr>
          <w:sz w:val="22"/>
          <w:szCs w:val="22"/>
          <w:shd w:val="clear" w:color="auto" w:fill="FFFFFF"/>
        </w:rPr>
      </w:pPr>
      <w:r>
        <w:rPr>
          <w:sz w:val="22"/>
          <w:szCs w:val="22"/>
        </w:rPr>
        <w:tab/>
      </w:r>
      <w:r>
        <w:rPr>
          <w:sz w:val="22"/>
          <w:szCs w:val="22"/>
          <w:shd w:val="clear" w:color="auto" w:fill="FFFFFF"/>
        </w:rPr>
        <w:t>Обременения (ограничения) Объекта 3: не зарегистрированы;</w:t>
      </w:r>
    </w:p>
    <w:p w14:paraId="0C2D7CD1" w14:textId="77777777" w:rsidR="00AD6A20" w:rsidRDefault="00610DEC">
      <w:pPr>
        <w:ind w:right="-57"/>
        <w:jc w:val="both"/>
        <w:rPr>
          <w:sz w:val="22"/>
          <w:szCs w:val="22"/>
        </w:rPr>
      </w:pPr>
      <w:r>
        <w:rPr>
          <w:sz w:val="22"/>
          <w:szCs w:val="22"/>
          <w:shd w:val="clear" w:color="auto" w:fill="FFFFFF"/>
        </w:rPr>
        <w:tab/>
        <w:t xml:space="preserve">Объект 4: Здание </w:t>
      </w:r>
      <w:r>
        <w:rPr>
          <w:sz w:val="22"/>
          <w:szCs w:val="22"/>
        </w:rPr>
        <w:t>с кадастровым номером 77:06:0002008:1156, количество этажей, в том числе подземных этажей: 1, адрес: Российская Федерация, город Москва, вн.тер.г. муниципальный округ Академический, улица Карьер, дом 2А, строение 7, площадью 121.5 кв.м., назначение: нежилое, наименование: здание, право собственности зарегистрировано 14.11.2024 за № 77:06:0002008:1156-77/051/2024-21.</w:t>
      </w:r>
    </w:p>
    <w:p w14:paraId="481A17FF" w14:textId="77777777" w:rsidR="00AD6A20" w:rsidRDefault="00610DEC">
      <w:pPr>
        <w:ind w:right="-57"/>
        <w:jc w:val="both"/>
        <w:rPr>
          <w:sz w:val="22"/>
          <w:szCs w:val="22"/>
          <w:shd w:val="clear" w:color="auto" w:fill="FFFFFF"/>
        </w:rPr>
      </w:pPr>
      <w:r>
        <w:rPr>
          <w:sz w:val="22"/>
          <w:szCs w:val="22"/>
        </w:rPr>
        <w:tab/>
      </w:r>
      <w:r>
        <w:rPr>
          <w:sz w:val="22"/>
          <w:szCs w:val="22"/>
          <w:shd w:val="clear" w:color="auto" w:fill="FFFFFF"/>
        </w:rPr>
        <w:t>Обременения (ограничения) Объекта 4: не зарегистрированы;</w:t>
      </w:r>
    </w:p>
    <w:p w14:paraId="2C1762B6" w14:textId="77777777" w:rsidR="00AD6A20" w:rsidRDefault="00610DEC">
      <w:pPr>
        <w:ind w:right="-57"/>
        <w:jc w:val="both"/>
        <w:rPr>
          <w:sz w:val="22"/>
          <w:szCs w:val="22"/>
        </w:rPr>
      </w:pPr>
      <w:r>
        <w:rPr>
          <w:sz w:val="22"/>
          <w:szCs w:val="22"/>
          <w:shd w:val="clear" w:color="auto" w:fill="FFFFFF"/>
        </w:rPr>
        <w:tab/>
        <w:t xml:space="preserve">Объект 5: Здание </w:t>
      </w:r>
      <w:r>
        <w:rPr>
          <w:sz w:val="22"/>
          <w:szCs w:val="22"/>
        </w:rPr>
        <w:t>с кадастровым номером 77:06:0002008:4870, количество этажей, в том числе подземных этажей: 3, в том числе подземных 0, адрес: Российская Федерация, город Москва, вн.тер.г. муниципальный округ Академический, улица Карьер, дом 2А, строение 2, площадью 1226 кв.м., назначение: нежилое, наименование: здание, право собственности зарегистрировано 14.11.2024 за № 77:06:0002008:4870-77/051/2024-22.</w:t>
      </w:r>
    </w:p>
    <w:p w14:paraId="1832A820" w14:textId="77777777" w:rsidR="00AD6A20" w:rsidRDefault="00610DEC">
      <w:pPr>
        <w:ind w:right="-57"/>
        <w:jc w:val="both"/>
        <w:rPr>
          <w:sz w:val="22"/>
          <w:szCs w:val="22"/>
          <w:shd w:val="clear" w:color="auto" w:fill="FFFFFF"/>
        </w:rPr>
      </w:pPr>
      <w:r>
        <w:rPr>
          <w:sz w:val="22"/>
          <w:szCs w:val="22"/>
        </w:rPr>
        <w:tab/>
      </w:r>
      <w:r>
        <w:rPr>
          <w:sz w:val="22"/>
          <w:szCs w:val="22"/>
          <w:shd w:val="clear" w:color="auto" w:fill="FFFFFF"/>
        </w:rPr>
        <w:t>Обременения (ограничения) Объекта 5: не зарегистрированы;</w:t>
      </w:r>
    </w:p>
    <w:p w14:paraId="6A689C74" w14:textId="77777777" w:rsidR="00AD6A20" w:rsidRDefault="00610DEC">
      <w:pPr>
        <w:ind w:right="-57" w:firstLine="708"/>
        <w:jc w:val="both"/>
        <w:rPr>
          <w:sz w:val="22"/>
          <w:szCs w:val="22"/>
          <w:shd w:val="clear" w:color="auto" w:fill="FFFFFF"/>
        </w:rPr>
      </w:pPr>
      <w:r>
        <w:rPr>
          <w:sz w:val="22"/>
          <w:szCs w:val="22"/>
          <w:shd w:val="clear" w:color="auto" w:fill="FFFFFF"/>
        </w:rPr>
        <w:t xml:space="preserve">Объект 6: Здание </w:t>
      </w:r>
      <w:r>
        <w:rPr>
          <w:sz w:val="22"/>
          <w:szCs w:val="22"/>
        </w:rPr>
        <w:t>с кадастровым номером 77:06:0002008:5195, количество этажей, в том числе подземных этажей: 1, адрес: Российская Федерация, город Москва, вн.тер.г. муниципальный округ Академический, улица Карьер, дом 2А, строение 8, площадью 18 кв.м., назначение: нежилое, наименование: нежилое здание, право собственности зарегистрировано 14.11.2024 № 77:06:0002008:5195-77/051/2024-21.</w:t>
      </w:r>
    </w:p>
    <w:p w14:paraId="4A46FD42" w14:textId="77777777" w:rsidR="00AD6A20" w:rsidRDefault="00610DEC">
      <w:pPr>
        <w:ind w:right="-57"/>
        <w:jc w:val="both"/>
        <w:rPr>
          <w:sz w:val="22"/>
          <w:szCs w:val="22"/>
          <w:shd w:val="clear" w:color="auto" w:fill="FFFFFF"/>
        </w:rPr>
      </w:pPr>
      <w:r>
        <w:rPr>
          <w:sz w:val="22"/>
          <w:szCs w:val="22"/>
        </w:rPr>
        <w:tab/>
      </w:r>
      <w:r>
        <w:rPr>
          <w:sz w:val="22"/>
          <w:szCs w:val="22"/>
          <w:shd w:val="clear" w:color="auto" w:fill="FFFFFF"/>
        </w:rPr>
        <w:t>Обременения (ограничения) Объекта 6: не зарегистрированы;</w:t>
      </w:r>
    </w:p>
    <w:p w14:paraId="206EB521" w14:textId="35E02C25" w:rsidR="00AD6A20" w:rsidRDefault="00610DEC">
      <w:pPr>
        <w:ind w:firstLine="708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Объекты 1, 2, 3, 4, 5, 6 располагаются в пределах земельного участка с кадастровым номером 77:06:0002008:113, категория земель, к которой отнесен земельный участок: Земли населенных пунктов, адрес: г. Москва, ул. Карьер, вл. 2А, стр. 2-4, 6-9, площадью 11324 кв.м., Декларированная площадь, виды разрешенного использования: объекты размещения коммерческих организаций, не связанных с проживанием населения (1.2.7); объекты размещения складских предприятий (1.2.9); участки размещения жилищно-коммунальных объектов: объекты размещения стоянок, помещений гаражей боксового типа (1.2.3); объекты размещения помещений и технических устройств тепловых пунктов (1.2.13); объекты </w:t>
      </w:r>
      <w:r>
        <w:rPr>
          <w:sz w:val="22"/>
          <w:szCs w:val="22"/>
        </w:rPr>
        <w:lastRenderedPageBreak/>
        <w:t>размещения предприятий по производству, ремонту, стирке, крашению, иной обработке бытовых изделий из ткани, кожи и других материалов (1.2.5)Право а</w:t>
      </w:r>
      <w:r>
        <w:rPr>
          <w:sz w:val="22"/>
          <w:szCs w:val="22"/>
          <w:shd w:val="clear" w:color="auto" w:fill="FFFFFF"/>
        </w:rPr>
        <w:t xml:space="preserve">ренды сроком  с 28.11.2007 по 16.10.2052. </w:t>
      </w:r>
    </w:p>
    <w:p w14:paraId="522778E5" w14:textId="77777777" w:rsidR="00AD6A20" w:rsidRDefault="00610DEC">
      <w:pPr>
        <w:ind w:right="-57" w:firstLine="708"/>
        <w:jc w:val="both"/>
        <w:rPr>
          <w:sz w:val="22"/>
          <w:szCs w:val="22"/>
          <w:shd w:val="clear" w:color="auto" w:fill="FFFFFF"/>
        </w:rPr>
      </w:pPr>
      <w:r>
        <w:rPr>
          <w:sz w:val="22"/>
          <w:szCs w:val="22"/>
          <w:shd w:val="clear" w:color="auto" w:fill="FFFFFF"/>
        </w:rPr>
        <w:t xml:space="preserve">Объект 7: Помещение </w:t>
      </w:r>
      <w:r>
        <w:rPr>
          <w:sz w:val="22"/>
          <w:szCs w:val="22"/>
        </w:rPr>
        <w:t>с кадастровым номером 77:06:0002008:4669, номер, тип этажа: 0 Подвал, адрес: Российская Федерация, город Москва, вн.тер.г. муниципальный округ Академический, улица Карьер, дом 2А, строение 1, помещение 1/П, площадью 94.3 кв.м., назначение: нежилое, наименование: помещение, право собственности зарегистрировано 14.11.2024 № 77:06:0002008:4669-77/051/2024-50.</w:t>
      </w:r>
    </w:p>
    <w:p w14:paraId="4F55D516" w14:textId="77777777" w:rsidR="00AD6A20" w:rsidRDefault="00610DEC">
      <w:pPr>
        <w:ind w:right="-57"/>
        <w:jc w:val="both"/>
        <w:rPr>
          <w:sz w:val="22"/>
          <w:szCs w:val="22"/>
          <w:shd w:val="clear" w:color="auto" w:fill="FFFFFF"/>
        </w:rPr>
      </w:pPr>
      <w:r>
        <w:rPr>
          <w:sz w:val="22"/>
          <w:szCs w:val="22"/>
        </w:rPr>
        <w:tab/>
      </w:r>
      <w:r>
        <w:rPr>
          <w:sz w:val="22"/>
          <w:szCs w:val="22"/>
          <w:shd w:val="clear" w:color="auto" w:fill="FFFFFF"/>
        </w:rPr>
        <w:t>Обременения (ограничения) Объекта 7: не зарегистрированы;</w:t>
      </w:r>
    </w:p>
    <w:p w14:paraId="2ADC9C6A" w14:textId="77777777" w:rsidR="00AD6A20" w:rsidRDefault="00610DEC">
      <w:pPr>
        <w:ind w:right="-57" w:firstLine="708"/>
        <w:jc w:val="both"/>
        <w:rPr>
          <w:sz w:val="22"/>
          <w:szCs w:val="22"/>
          <w:shd w:val="clear" w:color="auto" w:fill="FFFFFF"/>
        </w:rPr>
      </w:pPr>
      <w:r>
        <w:rPr>
          <w:sz w:val="22"/>
          <w:szCs w:val="22"/>
          <w:shd w:val="clear" w:color="auto" w:fill="FFFFFF"/>
        </w:rPr>
        <w:t xml:space="preserve">Объект 8: Помещение </w:t>
      </w:r>
      <w:r>
        <w:rPr>
          <w:sz w:val="22"/>
          <w:szCs w:val="22"/>
        </w:rPr>
        <w:t>с кадастровым номером 77:06:0002008:4872, номер, тип этажа: 0 Подвал, 1 Этаж, 2 Этаж, 3 Этаж, Мансарда, адрес: Российская Федерация, город Москва, вн.тер.г. муниципальный округ Академический, улица Карьер, дом 2А, строение 1, помещение 1/1, площадью 7485.4 кв.м., назначение: нежилое, наименование: Нежилые помещения, право собственности зарегистрировано 14.11.2024 № 77:06:0002008:4872-77/051/2024-53.</w:t>
      </w:r>
    </w:p>
    <w:p w14:paraId="6C6945CD" w14:textId="77777777" w:rsidR="00AD6A20" w:rsidRDefault="00610DEC">
      <w:pPr>
        <w:ind w:right="-57"/>
        <w:jc w:val="both"/>
        <w:rPr>
          <w:sz w:val="22"/>
          <w:szCs w:val="22"/>
        </w:rPr>
      </w:pPr>
      <w:r>
        <w:rPr>
          <w:sz w:val="22"/>
          <w:szCs w:val="22"/>
        </w:rPr>
        <w:tab/>
      </w:r>
      <w:r>
        <w:rPr>
          <w:sz w:val="22"/>
          <w:szCs w:val="22"/>
          <w:shd w:val="clear" w:color="auto" w:fill="FFFFFF"/>
        </w:rPr>
        <w:t>Обременения (ограничения) Объекта 8: не зарегистрированы.</w:t>
      </w:r>
    </w:p>
    <w:p w14:paraId="1DA7CBA0" w14:textId="4D4B7871" w:rsidR="00AD6A20" w:rsidRDefault="00610DEC">
      <w:pPr>
        <w:jc w:val="both"/>
        <w:rPr>
          <w:sz w:val="22"/>
          <w:szCs w:val="22"/>
        </w:rPr>
      </w:pPr>
      <w:r>
        <w:rPr>
          <w:sz w:val="22"/>
          <w:szCs w:val="22"/>
        </w:rPr>
        <w:tab/>
        <w:t>Объекты 7, 8 располагаются в пределах земельного участка с кадастровым номером 77:06:0002008:69, категория земель, к которой отнесен земельный участок: Земли населенных пунктов, адрес: г Москва, ул Карьер, вл 2А, стр 1, площадью 2366 кв.м., виды разрешенного использования: объекты размещения коммерческих организаций, не связанных с проживанием населения (1.2.7); объекты размещения предприятий по производству, ремонту, стирке, крашению, иной обработке бытовых изделий из ткани, кожи и других материалов (1.2.5)Право а</w:t>
      </w:r>
      <w:r>
        <w:rPr>
          <w:sz w:val="22"/>
          <w:szCs w:val="22"/>
          <w:shd w:val="clear" w:color="auto" w:fill="FFFFFF"/>
        </w:rPr>
        <w:t xml:space="preserve">ренды сроком с 05.05.2006 по 16.10.2052. </w:t>
      </w:r>
    </w:p>
    <w:p w14:paraId="493B803B" w14:textId="77777777" w:rsidR="00AD6A20" w:rsidRDefault="00AD6A20">
      <w:pPr>
        <w:ind w:right="-57"/>
        <w:jc w:val="both"/>
        <w:rPr>
          <w:sz w:val="22"/>
          <w:szCs w:val="22"/>
          <w:shd w:val="clear" w:color="auto" w:fill="FFFFFF"/>
        </w:rPr>
      </w:pPr>
    </w:p>
    <w:p w14:paraId="0AB33FBD" w14:textId="77777777" w:rsidR="00AD6A20" w:rsidRDefault="00610DEC">
      <w:pPr>
        <w:ind w:right="-57" w:firstLine="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перечисляет денежные средства </w:t>
      </w:r>
      <w:r>
        <w:rPr>
          <w:b/>
          <w:sz w:val="22"/>
          <w:szCs w:val="22"/>
        </w:rPr>
        <w:t>в размере 130 000 000 (Сто тридцать миллионов) рублей 00 копеек</w:t>
      </w:r>
      <w:r>
        <w:rPr>
          <w:sz w:val="22"/>
          <w:szCs w:val="22"/>
        </w:rPr>
        <w:t xml:space="preserve"> (далее – «Задаток») на расчетный счет Оператора электронной площадки:</w:t>
      </w:r>
      <w:r>
        <w:rPr>
          <w:bCs/>
          <w:sz w:val="22"/>
          <w:szCs w:val="22"/>
          <w:shd w:val="clear" w:color="auto" w:fill="FFFFFF"/>
        </w:rPr>
        <w:t xml:space="preserve"> </w:t>
      </w:r>
    </w:p>
    <w:p w14:paraId="19A0E325" w14:textId="77777777" w:rsidR="00AD6A20" w:rsidRDefault="00610DEC">
      <w:pPr>
        <w:ind w:firstLine="567"/>
        <w:jc w:val="both"/>
        <w:rPr>
          <w:sz w:val="22"/>
          <w:szCs w:val="22"/>
        </w:rPr>
      </w:pPr>
      <w:r>
        <w:rPr>
          <w:b/>
          <w:bCs/>
          <w:sz w:val="22"/>
          <w:szCs w:val="22"/>
          <w:u w:val="single"/>
        </w:rPr>
        <w:t>Получатель</w:t>
      </w:r>
      <w:r>
        <w:rPr>
          <w:b/>
          <w:bCs/>
          <w:sz w:val="22"/>
          <w:szCs w:val="22"/>
        </w:rPr>
        <w:t xml:space="preserve"> - АО «Российский аукционный дом» (ИНН 7838430413, КПП 783801001):</w:t>
      </w:r>
    </w:p>
    <w:p w14:paraId="4C36BFBB" w14:textId="77777777" w:rsidR="00AD6A20" w:rsidRDefault="00610DEC">
      <w:pPr>
        <w:ind w:firstLine="567"/>
        <w:jc w:val="both"/>
        <w:rPr>
          <w:sz w:val="22"/>
          <w:szCs w:val="22"/>
        </w:rPr>
      </w:pPr>
      <w:r>
        <w:rPr>
          <w:b/>
          <w:bCs/>
          <w:sz w:val="22"/>
          <w:szCs w:val="22"/>
        </w:rPr>
        <w:t>р/с № 40702810355000036459 в СЕВЕРО-ЗАПАДНЫЙ БАНК ПАО СБЕРБАНК,</w:t>
      </w:r>
    </w:p>
    <w:p w14:paraId="6B665919" w14:textId="77777777" w:rsidR="00AD6A20" w:rsidRDefault="00610DEC">
      <w:pPr>
        <w:ind w:firstLine="567"/>
        <w:jc w:val="both"/>
        <w:rPr>
          <w:sz w:val="22"/>
          <w:szCs w:val="22"/>
        </w:rPr>
      </w:pPr>
      <w:r>
        <w:rPr>
          <w:b/>
          <w:bCs/>
          <w:sz w:val="22"/>
          <w:szCs w:val="22"/>
        </w:rPr>
        <w:t>БИК 044030653, к/с 30101810500000000653.</w:t>
      </w:r>
    </w:p>
    <w:p w14:paraId="50751110" w14:textId="77777777" w:rsidR="00AD6A20" w:rsidRDefault="00610DEC">
      <w:pPr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2. Задаток должен быть внесен Претендентом не позднее даты, указанной в сообщении о продаже </w:t>
      </w:r>
      <w:r>
        <w:rPr>
          <w:b/>
          <w:sz w:val="22"/>
          <w:szCs w:val="22"/>
        </w:rPr>
        <w:t>Имущества</w:t>
      </w:r>
      <w:r>
        <w:rPr>
          <w:sz w:val="22"/>
          <w:szCs w:val="22"/>
        </w:rPr>
        <w:t xml:space="preserve"> и должен поступить на расчетный счет Оператора электронной площадки, указанный в п.1 настоящего Договора не позднее даты, указанной в сообщении о продаже </w:t>
      </w:r>
      <w:r>
        <w:rPr>
          <w:b/>
          <w:sz w:val="22"/>
          <w:szCs w:val="22"/>
        </w:rPr>
        <w:t>Имущества</w:t>
      </w:r>
      <w:r>
        <w:rPr>
          <w:sz w:val="22"/>
          <w:szCs w:val="22"/>
        </w:rPr>
        <w:t>. Задаток считается внесенным с даты поступления всей суммы Задатка на указанный счет.</w:t>
      </w:r>
    </w:p>
    <w:p w14:paraId="361C6BC1" w14:textId="77777777" w:rsidR="00AD6A20" w:rsidRDefault="00610DEC">
      <w:pPr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В случае, когда сумма Задатка от Претендента не зачислена на расчетный счет Оператора электронной площадки на дату, указанную в сообщении о продаже </w:t>
      </w:r>
      <w:r>
        <w:rPr>
          <w:b/>
          <w:sz w:val="22"/>
          <w:szCs w:val="22"/>
        </w:rPr>
        <w:t>Имущества</w:t>
      </w:r>
      <w:r>
        <w:rPr>
          <w:sz w:val="22"/>
          <w:szCs w:val="22"/>
        </w:rPr>
        <w:t>, Претендент не допускается к участию в торгах. Представление Претендентом платежных документов с отметкой об исполнении при этом во внимание Организатором торгов не принимается.</w:t>
      </w:r>
    </w:p>
    <w:p w14:paraId="7B5E95E3" w14:textId="77777777" w:rsidR="00AD6A20" w:rsidRDefault="00610DEC">
      <w:pPr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>Договор о задатке может быть подписан Претендентом электронной подписью Претендента либо Претендент вправе направить задаток на счет, указанный в п. 1 настоящего Договора без подписания настоящего Договора электронной подписью Претендента (в этом случае перечисление задатка Претендентом в соответствии с сообщением о проведении торгов считается акцептом размещенного на электронной площадке договора о задатке).</w:t>
      </w:r>
    </w:p>
    <w:p w14:paraId="76A9304E" w14:textId="77777777" w:rsidR="00AD6A20" w:rsidRDefault="00610DEC">
      <w:pPr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3. Задаток служит обеспечением исполнения обязательств Претендента по заключению по итогам торгов договора и оплате цены продажи </w:t>
      </w:r>
      <w:r>
        <w:rPr>
          <w:b/>
          <w:sz w:val="22"/>
          <w:szCs w:val="22"/>
        </w:rPr>
        <w:t>Имущества</w:t>
      </w:r>
      <w:r>
        <w:rPr>
          <w:sz w:val="22"/>
          <w:szCs w:val="22"/>
        </w:rPr>
        <w:t>, определенной по итогам торгов, и исполнения иных обязательств по заключенному договору в случае признания Претендента победителем торгов, если иное не предусмотрено в информационном сообщении о проведении торгов.</w:t>
      </w:r>
    </w:p>
    <w:p w14:paraId="53AF1081" w14:textId="77777777" w:rsidR="00AD6A20" w:rsidRDefault="00610DEC">
      <w:pPr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4. </w:t>
      </w:r>
      <w:bookmarkStart w:id="0" w:name="_Hlk114831194"/>
      <w:r>
        <w:rPr>
          <w:sz w:val="22"/>
          <w:szCs w:val="22"/>
        </w:rPr>
        <w:t>В платежном документе в графе «назначение платежа» должна содержаться информация: «№ л/с ____________Средства для проведения операций по обеспечению участия в электронных процедурах. НДС не облагается».</w:t>
      </w:r>
      <w:bookmarkEnd w:id="0"/>
    </w:p>
    <w:p w14:paraId="7E18FB8D" w14:textId="77777777" w:rsidR="00AD6A20" w:rsidRDefault="00610DEC">
      <w:pPr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>5. Исполнение обязанности по внесению суммы задатка третьими лицами не допускается.</w:t>
      </w:r>
    </w:p>
    <w:p w14:paraId="1F77567F" w14:textId="77777777" w:rsidR="00AD6A20" w:rsidRDefault="00610DEC">
      <w:pPr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>6. Сроки и порядок возврата суммы задатка, внесенного Претендентом на счет Оператора электронной площадки определяются Регламентом АО «Российский аукционный дом» О порядке работы с денежными средствами, перечисляемыми в качестве задатка при проведении электронных торгов по продаже имущества (предприятия) должников в ходе процедур, применяемых в деле о банкротстве, имущества частных собственников (далее – Регламент)</w:t>
      </w:r>
      <w:r>
        <w:rPr>
          <w:rStyle w:val="affa"/>
          <w:sz w:val="22"/>
          <w:szCs w:val="22"/>
        </w:rPr>
        <w:footnoteReference w:id="1"/>
      </w:r>
      <w:r>
        <w:rPr>
          <w:sz w:val="22"/>
          <w:szCs w:val="22"/>
        </w:rPr>
        <w:t xml:space="preserve">. </w:t>
      </w:r>
    </w:p>
    <w:p w14:paraId="403E0CCB" w14:textId="77777777" w:rsidR="00AD6A20" w:rsidRDefault="00610DEC">
      <w:pPr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>7. В случае наступления, указанных в Регламенте оснований для возврата Оператором электронной площадки Задатка Претенденту, возврат производится путем разблокировки денежных средств в размере суммы Задатка на лицевом счете Претендента. С момента разблокировки суммы Задатка на лицевом счете Претендента обязательства Оператора электронной площадки по возврату Задатка считаются исполненными.</w:t>
      </w:r>
    </w:p>
    <w:p w14:paraId="277DAC9A" w14:textId="77777777" w:rsidR="00AD6A20" w:rsidRDefault="00610DEC">
      <w:pPr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>8. Все возможные споры и разногласия, связанные с исполнением настоящего Договора, будут разрешаться Сторонами путем переговоров. В случае невозможности разрешения споров и разногласий путем переговоров они подлежат рассмотрению в арбитражном суде или в суде общей юрисдикции в соответствии с их компетенцией по месту нахождения Оператора электронной площадки.</w:t>
      </w:r>
    </w:p>
    <w:p w14:paraId="1B535628" w14:textId="77777777" w:rsidR="00AD6A20" w:rsidRDefault="00610DEC">
      <w:pPr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lastRenderedPageBreak/>
        <w:t xml:space="preserve">9. Фактом внесения денежных средств в качестве Задатка на участие в электронных торгах Претендент подтверждает согласие со всеми условиями проведения торгов, условиями настоящего Договора, условиями договора, подлежащего заключению по итогам торгов. </w:t>
      </w:r>
    </w:p>
    <w:p w14:paraId="671CF793" w14:textId="77777777" w:rsidR="00AD6A20" w:rsidRDefault="00AD6A20">
      <w:pPr>
        <w:jc w:val="both"/>
        <w:rPr>
          <w:sz w:val="22"/>
          <w:szCs w:val="22"/>
        </w:rPr>
      </w:pPr>
    </w:p>
    <w:p w14:paraId="5D52A156" w14:textId="77777777" w:rsidR="00AD6A20" w:rsidRDefault="00610DEC">
      <w:pPr>
        <w:ind w:firstLine="284"/>
        <w:jc w:val="center"/>
        <w:rPr>
          <w:sz w:val="22"/>
          <w:szCs w:val="22"/>
        </w:rPr>
      </w:pPr>
      <w:r>
        <w:rPr>
          <w:b/>
          <w:bCs/>
          <w:sz w:val="22"/>
          <w:szCs w:val="22"/>
        </w:rPr>
        <w:t>Реквизиты сторон:</w:t>
      </w:r>
    </w:p>
    <w:p w14:paraId="46043F67" w14:textId="77777777" w:rsidR="00AD6A20" w:rsidRDefault="00AD6A20">
      <w:pPr>
        <w:ind w:firstLine="284"/>
        <w:jc w:val="center"/>
        <w:rPr>
          <w:b/>
          <w:bCs/>
          <w:sz w:val="22"/>
          <w:szCs w:val="22"/>
        </w:rPr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4786"/>
        <w:gridCol w:w="764"/>
        <w:gridCol w:w="4274"/>
      </w:tblGrid>
      <w:tr w:rsidR="00AD6A20" w14:paraId="13FADEBC" w14:textId="77777777">
        <w:trPr>
          <w:trHeight w:val="3059"/>
        </w:trPr>
        <w:tc>
          <w:tcPr>
            <w:tcW w:w="4786" w:type="dxa"/>
          </w:tcPr>
          <w:p w14:paraId="2C01201F" w14:textId="77777777" w:rsidR="00AD6A20" w:rsidRDefault="00610DEC">
            <w:pPr>
              <w:rPr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Оператор электронной площадки:</w:t>
            </w:r>
          </w:p>
          <w:p w14:paraId="423A0699" w14:textId="77777777" w:rsidR="00AD6A20" w:rsidRDefault="00610DEC">
            <w:pPr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Акционерное общество</w:t>
            </w:r>
          </w:p>
          <w:p w14:paraId="471C0468" w14:textId="77777777" w:rsidR="00AD6A20" w:rsidRDefault="00610DEC">
            <w:pPr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«Российский аукционный дом»</w:t>
            </w:r>
          </w:p>
          <w:p w14:paraId="18E1E80B" w14:textId="77777777" w:rsidR="00AD6A20" w:rsidRDefault="00AD6A20">
            <w:pPr>
              <w:rPr>
                <w:b/>
                <w:sz w:val="22"/>
                <w:szCs w:val="22"/>
              </w:rPr>
            </w:pPr>
          </w:p>
          <w:p w14:paraId="2D8FB4CE" w14:textId="77777777" w:rsidR="00AD6A20" w:rsidRDefault="00610DE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Адрес для корреспонденции:</w:t>
            </w:r>
          </w:p>
          <w:p w14:paraId="7D180F42" w14:textId="77777777" w:rsidR="00AD6A20" w:rsidRDefault="00610DE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190000 Санкт-Петербург,</w:t>
            </w:r>
          </w:p>
          <w:p w14:paraId="1F0E61AC" w14:textId="77777777" w:rsidR="00AD6A20" w:rsidRDefault="00610DE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пер. Гривцова, д.5, лит. В</w:t>
            </w:r>
          </w:p>
          <w:p w14:paraId="05C5BF5B" w14:textId="77777777" w:rsidR="00AD6A20" w:rsidRDefault="00610DE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тел. 8 (800) 777-57-57</w:t>
            </w:r>
          </w:p>
          <w:p w14:paraId="0E4ABE8F" w14:textId="77777777" w:rsidR="00AD6A20" w:rsidRDefault="00AD6A20">
            <w:pPr>
              <w:jc w:val="center"/>
              <w:rPr>
                <w:sz w:val="22"/>
                <w:szCs w:val="22"/>
              </w:rPr>
            </w:pPr>
          </w:p>
          <w:p w14:paraId="647D25C6" w14:textId="77777777" w:rsidR="00AD6A20" w:rsidRDefault="00610DEC">
            <w:pPr>
              <w:tabs>
                <w:tab w:val="left" w:pos="1580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ОГРН: 1097847233351, ИНН: 7838430413, КПП: 783801001</w:t>
            </w:r>
          </w:p>
          <w:p w14:paraId="301F151E" w14:textId="77777777" w:rsidR="00AD6A20" w:rsidRDefault="00610DEC">
            <w:pPr>
              <w:tabs>
                <w:tab w:val="left" w:pos="1580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р/с № 40702810355000036459</w:t>
            </w:r>
          </w:p>
          <w:p w14:paraId="3379E0DD" w14:textId="77777777" w:rsidR="00AD6A20" w:rsidRDefault="00610DEC">
            <w:pPr>
              <w:tabs>
                <w:tab w:val="left" w:pos="1580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СЕВЕРО-ЗАПАДНЫЙ БАНК ПАО СБЕРБАНК</w:t>
            </w:r>
          </w:p>
          <w:p w14:paraId="65B44444" w14:textId="77777777" w:rsidR="00AD6A20" w:rsidRDefault="00610DEC">
            <w:pPr>
              <w:tabs>
                <w:tab w:val="left" w:pos="1580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БИК 044030653</w:t>
            </w:r>
          </w:p>
          <w:p w14:paraId="4FABD791" w14:textId="77777777" w:rsidR="00AD6A20" w:rsidRDefault="00610DEC">
            <w:pPr>
              <w:tabs>
                <w:tab w:val="left" w:pos="1580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к/с 30101810500000000653</w:t>
            </w:r>
          </w:p>
        </w:tc>
        <w:tc>
          <w:tcPr>
            <w:tcW w:w="764" w:type="dxa"/>
          </w:tcPr>
          <w:p w14:paraId="0E79C0FA" w14:textId="77777777" w:rsidR="00AD6A20" w:rsidRDefault="00AD6A20">
            <w:pPr>
              <w:ind w:firstLine="284"/>
              <w:jc w:val="both"/>
              <w:rPr>
                <w:sz w:val="22"/>
                <w:szCs w:val="22"/>
              </w:rPr>
            </w:pPr>
          </w:p>
        </w:tc>
        <w:tc>
          <w:tcPr>
            <w:tcW w:w="4274" w:type="dxa"/>
          </w:tcPr>
          <w:p w14:paraId="6FECEE7D" w14:textId="77777777" w:rsidR="00AD6A20" w:rsidRDefault="00610DEC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ab/>
            </w:r>
            <w:r>
              <w:rPr>
                <w:b/>
                <w:bCs/>
                <w:sz w:val="22"/>
                <w:szCs w:val="22"/>
              </w:rPr>
              <w:t>ПРЕТЕНДЕНТ:</w:t>
            </w:r>
          </w:p>
          <w:p w14:paraId="6F863009" w14:textId="77777777" w:rsidR="00AD6A20" w:rsidRDefault="00610DEC">
            <w:pPr>
              <w:jc w:val="both"/>
              <w:rPr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_________________________________</w:t>
            </w:r>
          </w:p>
          <w:p w14:paraId="09EDC894" w14:textId="77777777" w:rsidR="00AD6A20" w:rsidRDefault="00610DEC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_________________________________</w:t>
            </w:r>
          </w:p>
          <w:p w14:paraId="02347A43" w14:textId="77777777" w:rsidR="00AD6A20" w:rsidRDefault="00610DEC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_________________________________</w:t>
            </w:r>
          </w:p>
          <w:p w14:paraId="3242FB10" w14:textId="77777777" w:rsidR="00AD6A20" w:rsidRDefault="00610DEC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_________________________________</w:t>
            </w:r>
          </w:p>
          <w:p w14:paraId="4EA65A6C" w14:textId="77777777" w:rsidR="00AD6A20" w:rsidRDefault="00610DEC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_________________________________</w:t>
            </w:r>
          </w:p>
          <w:p w14:paraId="5EE7C842" w14:textId="77777777" w:rsidR="00AD6A20" w:rsidRDefault="00610DEC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_________________________________</w:t>
            </w:r>
          </w:p>
          <w:p w14:paraId="7CFA82CF" w14:textId="77777777" w:rsidR="00AD6A20" w:rsidRDefault="00610DEC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_________________________________</w:t>
            </w:r>
          </w:p>
          <w:p w14:paraId="3179428D" w14:textId="77777777" w:rsidR="00AD6A20" w:rsidRDefault="00AD6A20">
            <w:pPr>
              <w:jc w:val="both"/>
              <w:rPr>
                <w:sz w:val="22"/>
                <w:szCs w:val="22"/>
              </w:rPr>
            </w:pPr>
          </w:p>
        </w:tc>
      </w:tr>
    </w:tbl>
    <w:p w14:paraId="1A3F9F07" w14:textId="77777777" w:rsidR="00AD6A20" w:rsidRDefault="00610DEC">
      <w:pPr>
        <w:ind w:firstLine="284"/>
        <w:jc w:val="both"/>
        <w:rPr>
          <w:sz w:val="22"/>
          <w:szCs w:val="22"/>
        </w:rPr>
      </w:pPr>
      <w:r>
        <w:rPr>
          <w:b/>
          <w:bCs/>
          <w:sz w:val="22"/>
          <w:szCs w:val="22"/>
        </w:rPr>
        <w:t xml:space="preserve">        </w:t>
      </w:r>
    </w:p>
    <w:p w14:paraId="15C48306" w14:textId="77777777" w:rsidR="00AD6A20" w:rsidRDefault="00610DEC">
      <w:pPr>
        <w:jc w:val="both"/>
        <w:rPr>
          <w:sz w:val="22"/>
          <w:szCs w:val="22"/>
        </w:rPr>
      </w:pPr>
      <w:r>
        <w:rPr>
          <w:b/>
          <w:bCs/>
          <w:sz w:val="22"/>
          <w:szCs w:val="22"/>
        </w:rPr>
        <w:t>От Оператора электронной площадки</w:t>
      </w:r>
      <w:r>
        <w:rPr>
          <w:b/>
          <w:bCs/>
          <w:sz w:val="22"/>
          <w:szCs w:val="22"/>
        </w:rPr>
        <w:tab/>
        <w:t xml:space="preserve"> </w:t>
      </w:r>
      <w:r>
        <w:rPr>
          <w:b/>
          <w:bCs/>
          <w:sz w:val="22"/>
          <w:szCs w:val="22"/>
        </w:rPr>
        <w:tab/>
      </w:r>
      <w:r>
        <w:rPr>
          <w:b/>
          <w:bCs/>
          <w:sz w:val="22"/>
          <w:szCs w:val="22"/>
        </w:rPr>
        <w:tab/>
      </w:r>
      <w:r>
        <w:rPr>
          <w:b/>
          <w:bCs/>
          <w:sz w:val="22"/>
          <w:szCs w:val="22"/>
        </w:rPr>
        <w:tab/>
      </w:r>
      <w:r>
        <w:rPr>
          <w:b/>
          <w:bCs/>
          <w:sz w:val="22"/>
          <w:szCs w:val="22"/>
        </w:rPr>
        <w:tab/>
        <w:t>ОТ ПРЕТЕНДЕНТА</w:t>
      </w:r>
    </w:p>
    <w:p w14:paraId="2EE3287D" w14:textId="77777777" w:rsidR="00AD6A20" w:rsidRDefault="00610DEC">
      <w:pPr>
        <w:rPr>
          <w:sz w:val="22"/>
          <w:szCs w:val="22"/>
        </w:rPr>
      </w:pPr>
      <w:r>
        <w:rPr>
          <w:sz w:val="22"/>
          <w:szCs w:val="22"/>
        </w:rPr>
        <w:t>_____________________/ Е.В. Канцерова/</w:t>
      </w:r>
      <w:r>
        <w:rPr>
          <w:sz w:val="22"/>
          <w:szCs w:val="22"/>
        </w:rPr>
        <w:tab/>
        <w:t xml:space="preserve">            _______________________/_________</w:t>
      </w:r>
    </w:p>
    <w:p w14:paraId="5B951CCC" w14:textId="77777777" w:rsidR="00AD6A20" w:rsidRDefault="00AD6A20">
      <w:pPr>
        <w:rPr>
          <w:sz w:val="22"/>
          <w:szCs w:val="22"/>
        </w:rPr>
      </w:pPr>
    </w:p>
    <w:p w14:paraId="027EB2B4" w14:textId="77777777" w:rsidR="00AD6A20" w:rsidRDefault="00AD6A20">
      <w:pPr>
        <w:rPr>
          <w:sz w:val="22"/>
          <w:szCs w:val="22"/>
        </w:rPr>
      </w:pPr>
    </w:p>
    <w:sectPr w:rsidR="00AD6A20">
      <w:pgSz w:w="11906" w:h="16838"/>
      <w:pgMar w:top="567" w:right="567" w:bottom="567" w:left="1134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B37478F" w14:textId="77777777" w:rsidR="009A65BC" w:rsidRDefault="009A65BC">
      <w:r>
        <w:separator/>
      </w:r>
    </w:p>
  </w:endnote>
  <w:endnote w:type="continuationSeparator" w:id="0">
    <w:p w14:paraId="05DAAB9C" w14:textId="77777777" w:rsidR="009A65BC" w:rsidRDefault="009A65B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NTTimes/Cyrillic">
    <w:charset w:val="00"/>
    <w:family w:val="auto"/>
    <w:pitch w:val="default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Liberation Sans"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TimesNewRomanPSMT">
    <w:altName w:val="Times New Roman"/>
    <w:charset w:val="00"/>
    <w:family w:val="auto"/>
    <w:pitch w:val="default"/>
  </w:font>
  <w:font w:name="Liberation Serif">
    <w:panose1 w:val="02020603050405020304"/>
    <w:charset w:val="CC"/>
    <w:family w:val="roman"/>
    <w:pitch w:val="variable"/>
    <w:sig w:usb0="E0000AFF" w:usb1="500078FF" w:usb2="00000021" w:usb3="00000000" w:csb0="000001B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D7585EE" w14:textId="77777777" w:rsidR="009A65BC" w:rsidRDefault="009A65BC">
      <w:r>
        <w:separator/>
      </w:r>
    </w:p>
  </w:footnote>
  <w:footnote w:type="continuationSeparator" w:id="0">
    <w:p w14:paraId="4BC17F6F" w14:textId="77777777" w:rsidR="009A65BC" w:rsidRDefault="009A65BC">
      <w:r>
        <w:continuationSeparator/>
      </w:r>
    </w:p>
  </w:footnote>
  <w:footnote w:id="1">
    <w:p w14:paraId="16A47D00" w14:textId="77777777" w:rsidR="00AD6A20" w:rsidRDefault="00610DEC">
      <w:pPr>
        <w:pStyle w:val="af7"/>
      </w:pPr>
      <w:r>
        <w:rPr>
          <w:rStyle w:val="affa"/>
          <w:rFonts w:ascii="Liberation Serif" w:hAnsi="Liberation Serif"/>
        </w:rPr>
        <w:footnoteRef/>
      </w:r>
      <w:r>
        <w:t xml:space="preserve"> Если иное не предусмотрено информационным сообщением о проведении торгов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DE7020C"/>
    <w:multiLevelType w:val="multilevel"/>
    <w:tmpl w:val="1A442AA8"/>
    <w:lvl w:ilvl="0">
      <w:start w:val="1"/>
      <w:numFmt w:val="decimal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decimal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decimal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decimal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decimal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decimal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decimal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decimal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decimal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3FCA6819"/>
    <w:multiLevelType w:val="multilevel"/>
    <w:tmpl w:val="4A7E3322"/>
    <w:lvl w:ilvl="0">
      <w:start w:val="1"/>
      <w:numFmt w:val="decimal"/>
      <w:lvlText w:val="%1."/>
      <w:lvlJc w:val="left"/>
      <w:pPr>
        <w:tabs>
          <w:tab w:val="num" w:pos="0"/>
        </w:tabs>
        <w:ind w:left="1068" w:hanging="360"/>
      </w:pPr>
      <w:rPr>
        <w:color w:val="000000"/>
      </w:rPr>
    </w:lvl>
    <w:lvl w:ilvl="1">
      <w:numFmt w:val="bullet"/>
      <w:lvlText w:val=""/>
      <w:lvlJc w:val="left"/>
    </w:lvl>
    <w:lvl w:ilvl="2">
      <w:numFmt w:val="bullet"/>
      <w:lvlText w:val=""/>
      <w:lvlJc w:val="left"/>
    </w:lvl>
    <w:lvl w:ilvl="3">
      <w:numFmt w:val="bullet"/>
      <w:lvlText w:val=""/>
      <w:lvlJc w:val="left"/>
    </w:lvl>
    <w:lvl w:ilvl="4">
      <w:numFmt w:val="bullet"/>
      <w:lvlText w:val=""/>
      <w:lvlJc w:val="left"/>
    </w:lvl>
    <w:lvl w:ilvl="5">
      <w:numFmt w:val="bullet"/>
      <w:lvlText w:val=""/>
      <w:lvlJc w:val="left"/>
    </w:lvl>
    <w:lvl w:ilvl="6">
      <w:numFmt w:val="bullet"/>
      <w:lvlText w:val=""/>
      <w:lvlJc w:val="left"/>
    </w:lvl>
    <w:lvl w:ilvl="7">
      <w:numFmt w:val="bullet"/>
      <w:lvlText w:val=""/>
      <w:lvlJc w:val="left"/>
    </w:lvl>
    <w:lvl w:ilvl="8">
      <w:numFmt w:val="bullet"/>
      <w:lvlText w:val=""/>
      <w:lvlJc w:val="left"/>
    </w:lvl>
  </w:abstractNum>
  <w:num w:numId="1" w16cid:durableId="1757096413">
    <w:abstractNumId w:val="1"/>
  </w:num>
  <w:num w:numId="2" w16cid:durableId="118470381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1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AD6A20"/>
    <w:rsid w:val="00610DEC"/>
    <w:rsid w:val="009A65BC"/>
    <w:rsid w:val="00A73499"/>
    <w:rsid w:val="00A759F7"/>
    <w:rsid w:val="00AD6A20"/>
    <w:rsid w:val="00DA4F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F8678E"/>
  <w15:docId w15:val="{3463FD36-1A1A-4ED4-B764-A510B8E610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ru-RU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color w:val="000000"/>
      <w:sz w:val="24"/>
      <w:szCs w:val="24"/>
    </w:rPr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360" w:after="80"/>
      <w:outlineLvl w:val="0"/>
    </w:pPr>
    <w:rPr>
      <w:rFonts w:ascii="Arial" w:eastAsia="Arial" w:hAnsi="Arial" w:cs="Arial"/>
      <w:color w:val="365F91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160" w:after="80"/>
      <w:outlineLvl w:val="1"/>
    </w:pPr>
    <w:rPr>
      <w:rFonts w:ascii="Arial" w:eastAsia="Arial" w:hAnsi="Arial" w:cs="Arial"/>
      <w:color w:val="365F9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160" w:after="80"/>
      <w:outlineLvl w:val="2"/>
    </w:pPr>
    <w:rPr>
      <w:rFonts w:ascii="Arial" w:eastAsia="Arial" w:hAnsi="Arial" w:cs="Arial"/>
      <w:color w:val="365F9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80" w:after="40"/>
      <w:outlineLvl w:val="3"/>
    </w:pPr>
    <w:rPr>
      <w:rFonts w:ascii="Arial" w:eastAsia="Arial" w:hAnsi="Arial" w:cs="Arial"/>
      <w:i/>
      <w:iCs/>
      <w:color w:val="365F91" w:themeColor="accent1" w:themeShade="BF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80" w:after="40"/>
      <w:outlineLvl w:val="4"/>
    </w:pPr>
    <w:rPr>
      <w:rFonts w:ascii="Arial" w:eastAsia="Arial" w:hAnsi="Arial" w:cs="Arial"/>
      <w:color w:val="365F91" w:themeColor="accent1" w:themeShade="BF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40"/>
      <w:outlineLvl w:val="5"/>
    </w:pPr>
    <w:rPr>
      <w:rFonts w:ascii="Arial" w:eastAsia="Arial" w:hAnsi="Arial" w:cs="Arial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40"/>
      <w:outlineLvl w:val="6"/>
    </w:pPr>
    <w:rPr>
      <w:rFonts w:ascii="Arial" w:eastAsia="Arial" w:hAnsi="Arial" w:cs="Arial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outlineLvl w:val="7"/>
    </w:pPr>
    <w:rPr>
      <w:rFonts w:ascii="Arial" w:eastAsia="Arial" w:hAnsi="Arial" w:cs="Arial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outlineLvl w:val="8"/>
    </w:pPr>
    <w:rPr>
      <w:rFonts w:ascii="Arial" w:eastAsia="Arial" w:hAnsi="Arial" w:cs="Arial"/>
      <w:i/>
      <w:iCs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Pr>
      <w:color w:val="666666"/>
    </w:rPr>
  </w:style>
  <w:style w:type="paragraph" w:styleId="11">
    <w:name w:val="toc 1"/>
    <w:basedOn w:val="a"/>
    <w:next w:val="a"/>
    <w:uiPriority w:val="39"/>
    <w:unhideWhenUsed/>
    <w:pPr>
      <w:spacing w:after="100"/>
    </w:pPr>
  </w:style>
  <w:style w:type="paragraph" w:styleId="21">
    <w:name w:val="toc 2"/>
    <w:basedOn w:val="a"/>
    <w:next w:val="a"/>
    <w:uiPriority w:val="39"/>
    <w:unhideWhenUsed/>
    <w:pPr>
      <w:spacing w:after="100"/>
      <w:ind w:left="220"/>
    </w:pPr>
  </w:style>
  <w:style w:type="paragraph" w:styleId="31">
    <w:name w:val="toc 3"/>
    <w:basedOn w:val="a"/>
    <w:next w:val="a"/>
    <w:uiPriority w:val="39"/>
    <w:unhideWhenUsed/>
    <w:pPr>
      <w:spacing w:after="100"/>
      <w:ind w:left="440"/>
    </w:pPr>
  </w:style>
  <w:style w:type="paragraph" w:styleId="41">
    <w:name w:val="toc 4"/>
    <w:basedOn w:val="a"/>
    <w:next w:val="a"/>
    <w:uiPriority w:val="39"/>
    <w:unhideWhenUsed/>
    <w:pPr>
      <w:spacing w:after="100"/>
      <w:ind w:left="660"/>
    </w:pPr>
  </w:style>
  <w:style w:type="paragraph" w:styleId="51">
    <w:name w:val="toc 5"/>
    <w:basedOn w:val="a"/>
    <w:next w:val="a"/>
    <w:uiPriority w:val="39"/>
    <w:unhideWhenUsed/>
    <w:pPr>
      <w:spacing w:after="100"/>
      <w:ind w:left="880"/>
    </w:pPr>
  </w:style>
  <w:style w:type="paragraph" w:styleId="61">
    <w:name w:val="toc 6"/>
    <w:basedOn w:val="a"/>
    <w:next w:val="a"/>
    <w:uiPriority w:val="39"/>
    <w:unhideWhenUsed/>
    <w:pPr>
      <w:spacing w:after="100"/>
      <w:ind w:left="1100"/>
    </w:pPr>
  </w:style>
  <w:style w:type="paragraph" w:styleId="71">
    <w:name w:val="toc 7"/>
    <w:basedOn w:val="a"/>
    <w:next w:val="a"/>
    <w:uiPriority w:val="39"/>
    <w:unhideWhenUsed/>
    <w:pPr>
      <w:spacing w:after="100"/>
      <w:ind w:left="1320"/>
    </w:pPr>
  </w:style>
  <w:style w:type="paragraph" w:styleId="81">
    <w:name w:val="toc 8"/>
    <w:basedOn w:val="a"/>
    <w:next w:val="a"/>
    <w:uiPriority w:val="39"/>
    <w:unhideWhenUsed/>
    <w:pPr>
      <w:spacing w:after="100"/>
      <w:ind w:left="1540"/>
    </w:pPr>
  </w:style>
  <w:style w:type="paragraph" w:styleId="91">
    <w:name w:val="toc 9"/>
    <w:basedOn w:val="a"/>
    <w:next w:val="a"/>
    <w:uiPriority w:val="39"/>
    <w:unhideWhenUsed/>
    <w:pPr>
      <w:spacing w:after="100"/>
      <w:ind w:left="1760"/>
    </w:pPr>
  </w:style>
  <w:style w:type="character" w:customStyle="1" w:styleId="Heading1Char">
    <w:name w:val="Heading 1 Char"/>
    <w:basedOn w:val="a0"/>
    <w:uiPriority w:val="9"/>
    <w:rPr>
      <w:rFonts w:ascii="Arial" w:eastAsia="Arial" w:hAnsi="Arial" w:cs="Arial"/>
      <w:color w:val="365F91" w:themeColor="accent1" w:themeShade="BF"/>
      <w:sz w:val="40"/>
      <w:szCs w:val="40"/>
    </w:rPr>
  </w:style>
  <w:style w:type="character" w:customStyle="1" w:styleId="Heading2Char">
    <w:name w:val="Heading 2 Char"/>
    <w:basedOn w:val="a0"/>
    <w:uiPriority w:val="9"/>
    <w:rPr>
      <w:rFonts w:ascii="Arial" w:eastAsia="Arial" w:hAnsi="Arial" w:cs="Arial"/>
      <w:color w:val="365F91" w:themeColor="accent1" w:themeShade="BF"/>
      <w:sz w:val="32"/>
      <w:szCs w:val="32"/>
    </w:rPr>
  </w:style>
  <w:style w:type="character" w:customStyle="1" w:styleId="Heading3Char">
    <w:name w:val="Heading 3 Char"/>
    <w:basedOn w:val="a0"/>
    <w:uiPriority w:val="9"/>
    <w:rPr>
      <w:rFonts w:ascii="Arial" w:eastAsia="Arial" w:hAnsi="Arial" w:cs="Arial"/>
      <w:color w:val="365F91" w:themeColor="accent1" w:themeShade="BF"/>
      <w:sz w:val="28"/>
      <w:szCs w:val="28"/>
    </w:rPr>
  </w:style>
  <w:style w:type="character" w:customStyle="1" w:styleId="Heading4Char">
    <w:name w:val="Heading 4 Char"/>
    <w:basedOn w:val="a0"/>
    <w:uiPriority w:val="9"/>
    <w:rPr>
      <w:rFonts w:ascii="Arial" w:eastAsia="Arial" w:hAnsi="Arial" w:cs="Arial"/>
      <w:i/>
      <w:iCs/>
      <w:color w:val="365F91" w:themeColor="accent1" w:themeShade="BF"/>
    </w:rPr>
  </w:style>
  <w:style w:type="character" w:customStyle="1" w:styleId="Heading5Char">
    <w:name w:val="Heading 5 Char"/>
    <w:basedOn w:val="a0"/>
    <w:uiPriority w:val="9"/>
    <w:rPr>
      <w:rFonts w:ascii="Arial" w:eastAsia="Arial" w:hAnsi="Arial" w:cs="Arial"/>
      <w:color w:val="365F91" w:themeColor="accent1" w:themeShade="BF"/>
    </w:rPr>
  </w:style>
  <w:style w:type="character" w:customStyle="1" w:styleId="Heading6Char">
    <w:name w:val="Heading 6 Char"/>
    <w:basedOn w:val="a0"/>
    <w:uiPriority w:val="9"/>
    <w:rPr>
      <w:rFonts w:ascii="Arial" w:eastAsia="Arial" w:hAnsi="Arial" w:cs="Arial"/>
      <w:i/>
      <w:iCs/>
      <w:color w:val="595959" w:themeColor="text1" w:themeTint="A6"/>
    </w:rPr>
  </w:style>
  <w:style w:type="character" w:customStyle="1" w:styleId="Heading7Char">
    <w:name w:val="Heading 7 Char"/>
    <w:basedOn w:val="a0"/>
    <w:uiPriority w:val="9"/>
    <w:rPr>
      <w:rFonts w:ascii="Arial" w:eastAsia="Arial" w:hAnsi="Arial" w:cs="Arial"/>
      <w:color w:val="595959" w:themeColor="text1" w:themeTint="A6"/>
    </w:rPr>
  </w:style>
  <w:style w:type="character" w:customStyle="1" w:styleId="Heading8Char">
    <w:name w:val="Heading 8 Char"/>
    <w:basedOn w:val="a0"/>
    <w:uiPriority w:val="9"/>
    <w:rPr>
      <w:rFonts w:ascii="Arial" w:eastAsia="Arial" w:hAnsi="Arial" w:cs="Arial"/>
      <w:i/>
      <w:iCs/>
      <w:color w:val="272727" w:themeColor="text1" w:themeTint="D8"/>
    </w:rPr>
  </w:style>
  <w:style w:type="character" w:customStyle="1" w:styleId="Heading9Char">
    <w:name w:val="Heading 9 Char"/>
    <w:basedOn w:val="a0"/>
    <w:uiPriority w:val="9"/>
    <w:rPr>
      <w:rFonts w:ascii="Arial" w:eastAsia="Arial" w:hAnsi="Arial" w:cs="Arial"/>
      <w:i/>
      <w:iCs/>
      <w:color w:val="272727" w:themeColor="text1" w:themeTint="D8"/>
    </w:rPr>
  </w:style>
  <w:style w:type="character" w:customStyle="1" w:styleId="TitleChar">
    <w:name w:val="Title Char"/>
    <w:basedOn w:val="a0"/>
    <w:uiPriority w:val="10"/>
    <w:rPr>
      <w:rFonts w:ascii="Arial" w:eastAsia="Arial" w:hAnsi="Arial" w:cs="Arial"/>
      <w:spacing w:val="-10"/>
      <w:sz w:val="56"/>
      <w:szCs w:val="56"/>
    </w:rPr>
  </w:style>
  <w:style w:type="character" w:customStyle="1" w:styleId="SubtitleChar">
    <w:name w:val="Subtitle Char"/>
    <w:basedOn w:val="a0"/>
    <w:uiPriority w:val="11"/>
    <w:rPr>
      <w:color w:val="595959" w:themeColor="text1" w:themeTint="A6"/>
      <w:spacing w:val="15"/>
      <w:sz w:val="28"/>
      <w:szCs w:val="28"/>
    </w:rPr>
  </w:style>
  <w:style w:type="character" w:customStyle="1" w:styleId="QuoteChar">
    <w:name w:val="Quote Char"/>
    <w:basedOn w:val="a0"/>
    <w:uiPriority w:val="29"/>
    <w:rPr>
      <w:i/>
      <w:iCs/>
      <w:color w:val="404040" w:themeColor="text1" w:themeTint="BF"/>
    </w:rPr>
  </w:style>
  <w:style w:type="character" w:customStyle="1" w:styleId="IntenseQuoteChar">
    <w:name w:val="Intense Quote Char"/>
    <w:basedOn w:val="a0"/>
    <w:uiPriority w:val="30"/>
    <w:rPr>
      <w:i/>
      <w:iCs/>
      <w:color w:val="365F91" w:themeColor="accent1" w:themeShade="BF"/>
    </w:rPr>
  </w:style>
  <w:style w:type="character" w:customStyle="1" w:styleId="HeaderChar">
    <w:name w:val="Header Char"/>
    <w:basedOn w:val="a0"/>
    <w:uiPriority w:val="99"/>
  </w:style>
  <w:style w:type="character" w:customStyle="1" w:styleId="FooterChar">
    <w:name w:val="Footer Char"/>
    <w:basedOn w:val="a0"/>
    <w:uiPriority w:val="99"/>
  </w:style>
  <w:style w:type="character" w:customStyle="1" w:styleId="FootnoteTextChar">
    <w:name w:val="Footnote Text Char"/>
    <w:basedOn w:val="a0"/>
    <w:uiPriority w:val="99"/>
    <w:semiHidden/>
    <w:rPr>
      <w:sz w:val="20"/>
      <w:szCs w:val="20"/>
    </w:rPr>
  </w:style>
  <w:style w:type="character" w:customStyle="1" w:styleId="EndnoteTextChar">
    <w:name w:val="Endnote Text Char"/>
    <w:basedOn w:val="a0"/>
    <w:uiPriority w:val="99"/>
    <w:semiHidden/>
    <w:rPr>
      <w:sz w:val="20"/>
      <w:szCs w:val="20"/>
    </w:rPr>
  </w:style>
  <w:style w:type="table" w:styleId="a4">
    <w:name w:val="Table Grid"/>
    <w:basedOn w:val="a1"/>
    <w:uiPriority w:val="59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Light">
    <w:name w:val="Table Grid Light"/>
    <w:basedOn w:val="a1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styleId="12">
    <w:name w:val="Plain Table 1"/>
    <w:basedOn w:val="a1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styleId="22">
    <w:name w:val="Plain Table 2"/>
    <w:basedOn w:val="a1"/>
    <w:uiPriority w:val="59"/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styleId="32">
    <w:name w:val="Plain Table 3"/>
    <w:basedOn w:val="a1"/>
    <w:uiPriority w:val="99"/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42">
    <w:name w:val="Plain Table 4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52">
    <w:name w:val="Plain Table 5"/>
    <w:basedOn w:val="a1"/>
    <w:uiPriority w:val="99"/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-1">
    <w:name w:val="Grid Table 1 Light"/>
    <w:basedOn w:val="a1"/>
    <w:uiPriority w:val="99"/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styleId="-2">
    <w:name w:val="Grid Table 2"/>
    <w:basedOn w:val="a1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-3">
    <w:name w:val="Grid Table 3"/>
    <w:basedOn w:val="a1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-4">
    <w:name w:val="Grid Table 4"/>
    <w:basedOn w:val="a1"/>
    <w:uiPriority w:val="59"/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themeColor="accent1" w:themeTint="EA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themeColor="accent3" w:themeTint="FE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themeColor="accent5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themeColor="accent6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-5">
    <w:name w:val="Grid Table 5 Dark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themeColor="accent1" w:themeTint="34" w:fill="DAE5F1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themeColor="accent1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band1Vert">
      <w:tblPr/>
      <w:tcPr>
        <w:shd w:val="clear" w:color="AEC4E0" w:themeColor="accent1" w:themeTint="75" w:fill="AEC4E0" w:themeFill="accent1" w:themeFillTint="75"/>
      </w:tcPr>
    </w:tblStylePr>
    <w:tblStylePr w:type="band1Horz">
      <w:tblPr/>
      <w:tcPr>
        <w:shd w:val="clear" w:color="AEC4E0" w:themeColor="accent1" w:themeTint="75" w:fill="AEC4E0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themeColor="accent2" w:themeTint="32" w:fill="F2DCDC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themeColor="accent2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band1Vert">
      <w:tblPr/>
      <w:tcPr>
        <w:shd w:val="clear" w:color="E2AEAD" w:themeColor="accent2" w:themeTint="75" w:fill="E2AEAD" w:themeFill="accent2" w:themeFillTint="75"/>
      </w:tcPr>
    </w:tblStylePr>
    <w:tblStylePr w:type="band1Horz">
      <w:tblPr/>
      <w:tcPr>
        <w:shd w:val="clear" w:color="E2AEAD" w:themeColor="accent2" w:themeTint="75" w:fill="E2AEAD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themeColor="accent3" w:themeTint="34" w:fill="EAF1D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themeColor="accent3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band1Vert">
      <w:tblPr/>
      <w:tcPr>
        <w:shd w:val="clear" w:color="D0DFB2" w:themeColor="accent3" w:themeTint="75" w:fill="D0DFB2" w:themeFill="accent3" w:themeFillTint="75"/>
      </w:tcPr>
    </w:tblStylePr>
    <w:tblStylePr w:type="band1Horz">
      <w:tblPr/>
      <w:tcPr>
        <w:shd w:val="clear" w:color="D0DFB2" w:themeColor="accent3" w:themeTint="75" w:fill="D0DFB2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themeColor="accent4" w:themeTint="34" w:fill="E5DFEC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themeColor="accent4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band1Vert">
      <w:tblPr/>
      <w:tcPr>
        <w:shd w:val="clear" w:color="C4B7D4" w:themeColor="accent4" w:themeTint="75" w:fill="C4B7D4" w:themeFill="accent4" w:themeFillTint="75"/>
      </w:tcPr>
    </w:tblStylePr>
    <w:tblStylePr w:type="band1Horz">
      <w:tblPr/>
      <w:tcPr>
        <w:shd w:val="clear" w:color="C4B7D4" w:themeColor="accent4" w:themeTint="75" w:fill="C4B7D4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themeColor="accent5" w:themeTint="34" w:fill="DAEEF3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themeColor="accent5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band1Vert">
      <w:tblPr/>
      <w:tcPr>
        <w:shd w:val="clear" w:color="ACD8E4" w:themeColor="accent5" w:themeTint="75" w:fill="ACD8E4" w:themeFill="accent5" w:themeFillTint="75"/>
      </w:tcPr>
    </w:tblStylePr>
    <w:tblStylePr w:type="band1Horz">
      <w:tblPr/>
      <w:tcPr>
        <w:shd w:val="clear" w:color="ACD8E4" w:themeColor="accent5" w:themeTint="75" w:fill="ACD8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themeColor="accent6" w:themeTint="34" w:fill="FDE9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band1Vert">
      <w:tblPr/>
      <w:tcPr>
        <w:shd w:val="clear" w:color="FBCEAA" w:themeColor="accent6" w:themeTint="75" w:fill="FBCEAA" w:themeFill="accent6" w:themeFillTint="75"/>
      </w:tcPr>
    </w:tblStylePr>
    <w:tblStylePr w:type="band1Horz">
      <w:tblPr/>
      <w:tcPr>
        <w:shd w:val="clear" w:color="FBCEAA" w:themeColor="accent6" w:themeTint="75" w:fill="FBCEAA" w:themeFill="accent6" w:themeFillTint="75"/>
      </w:tcPr>
    </w:tblStylePr>
  </w:style>
  <w:style w:type="table" w:styleId="-6">
    <w:name w:val="Grid Table 6 Colorful"/>
    <w:basedOn w:val="a1"/>
    <w:uiPriority w:val="99"/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tblPr>
      <w:tblStyleRowBandSize w:val="1"/>
      <w:tblStyleColBandSize w:val="1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tblPr>
      <w:tblStyleRowBandSize w:val="1"/>
      <w:tblStyleColBandSize w:val="1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tblPr>
      <w:tblStyleRowBandSize w:val="1"/>
      <w:tblStyleColBandSize w:val="1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tblPr>
      <w:tblStyleRowBandSize w:val="1"/>
      <w:tblStyleColBandSize w:val="1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styleId="-7">
    <w:name w:val="Grid Table 7 Colorful"/>
    <w:basedOn w:val="a1"/>
    <w:uiPriority w:val="99"/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7F7F7F" w:themeColor="text1" w:themeTint="80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000000"/>
          <w:left w:val="single" w:sz="4" w:space="0" w:color="7F7F7F" w:themeColor="text1" w:themeTint="80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tblPr>
      <w:tblStyleRowBandSize w:val="1"/>
      <w:tblStyleColBandSize w:val="1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A6BFDD" w:themeColor="accent1" w:themeTint="80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000000"/>
          <w:left w:val="single" w:sz="4" w:space="0" w:color="A6BFDD" w:themeColor="accent1" w:themeTint="80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tblPr>
      <w:tblStyleRowBandSize w:val="1"/>
      <w:tblStyleColBandSize w:val="1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D99695" w:themeColor="accent2" w:themeTint="97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000000"/>
          <w:left w:val="single" w:sz="4" w:space="0" w:color="D99695" w:themeColor="accent2" w:themeTint="97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tblPr>
      <w:tblStyleRowBandSize w:val="1"/>
      <w:tblStyleColBandSize w:val="1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9ABB59" w:themeColor="accent3" w:themeTint="FE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000000"/>
          <w:left w:val="single" w:sz="4" w:space="0" w:color="9ABB59" w:themeColor="accent3" w:themeTint="FE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tblPr>
      <w:tblStyleRowBandSize w:val="1"/>
      <w:tblStyleColBandSize w:val="1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B2A1C6" w:themeColor="accent4" w:themeTint="9A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000000"/>
          <w:left w:val="single" w:sz="4" w:space="0" w:color="B2A1C6" w:themeColor="accent4" w:themeTint="9A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tblPr>
      <w:tblStyleRowBandSize w:val="1"/>
      <w:tblStyleColBandSize w:val="1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99D0DE" w:themeColor="accent5" w:themeTint="90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000000"/>
          <w:left w:val="single" w:sz="4" w:space="0" w:color="99D0DE" w:themeColor="accent5" w:themeTint="90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tblPr>
      <w:tblStyleRowBandSize w:val="1"/>
      <w:tblStyleColBandSize w:val="1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FAC396" w:themeColor="accent6" w:themeTint="90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000000"/>
          <w:left w:val="single" w:sz="4" w:space="0" w:color="FAC396" w:themeColor="accent6" w:themeTint="90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styleId="-10">
    <w:name w:val="List Table 1 Light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tblPr/>
      <w:tcPr>
        <w:shd w:val="clear" w:color="FDE4D0" w:themeColor="accent6" w:themeTint="40" w:fill="FDE4D0" w:themeFill="accent6" w:themeFillTint="40"/>
      </w:tcPr>
    </w:tblStylePr>
  </w:style>
  <w:style w:type="table" w:styleId="-20">
    <w:name w:val="List Table 2"/>
    <w:basedOn w:val="a1"/>
    <w:uiPriority w:val="99"/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tblPr>
      <w:tblStyleRowBandSize w:val="1"/>
      <w:tblStyleColBandSize w:val="1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tblPr>
      <w:tblStyleRowBandSize w:val="1"/>
      <w:tblStyleColBandSize w:val="1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tblPr>
      <w:tblStyleRowBandSize w:val="1"/>
      <w:tblStyleColBandSize w:val="1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tblPr>
      <w:tblStyleRowBandSize w:val="1"/>
      <w:tblStyleColBandSize w:val="1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tblPr>
      <w:tblStyleRowBandSize w:val="1"/>
      <w:tblStyleColBandSize w:val="1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tblPr>
      <w:tblStyleRowBandSize w:val="1"/>
      <w:tblStyleColBandSize w:val="1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styleId="-30">
    <w:name w:val="List Table 3"/>
    <w:basedOn w:val="a1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tblPr>
      <w:tblStyleRowBandSize w:val="1"/>
      <w:tblStyleColBandSize w:val="1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tblPr>
      <w:tblStyleRowBandSize w:val="1"/>
      <w:tblStyleColBandSize w:val="1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themeColor="accent3" w:themeTint="98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tblPr>
      <w:tblStyleRowBandSize w:val="1"/>
      <w:tblStyleColBandSize w:val="1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themeColor="accent5" w:themeTint="9A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tblPr>
      <w:tblStyleRowBandSize w:val="1"/>
      <w:tblStyleColBandSize w:val="1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themeColor="accent6" w:themeTint="98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styleId="-40">
    <w:name w:val="List Table 4"/>
    <w:basedOn w:val="a1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styleId="-50">
    <w:name w:val="List Table 5 Dark"/>
    <w:basedOn w:val="a1"/>
    <w:uiPriority w:val="99"/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tblPr>
      <w:tblStyleRowBandSize w:val="1"/>
      <w:tblStyleColBandSize w:val="1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themeColor="accent1" w:fill="4F81BD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themeColor="accent1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</w:style>
  <w:style w:type="table" w:customStyle="1" w:styleId="ListTable5Dark-Accent2">
    <w:name w:val="List Table 5 Dark - Accent 2"/>
    <w:basedOn w:val="a1"/>
    <w:uiPriority w:val="99"/>
    <w:tblPr>
      <w:tblStyleRowBandSize w:val="1"/>
      <w:tblStyleColBandSize w:val="1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themeColor="accent2" w:themeTint="97" w:fill="D99695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tblPr>
      <w:tblStyleRowBandSize w:val="1"/>
      <w:tblStyleColBandSize w:val="1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themeColor="accent3" w:themeTint="98" w:fill="C3D69B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tblPr>
      <w:tblStyleRowBandSize w:val="1"/>
      <w:tblStyleColBandSize w:val="1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themeColor="accent4" w:themeTint="9A" w:fill="B2A1C6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tblPr>
      <w:tblStyleRowBandSize w:val="1"/>
      <w:tblStyleColBandSize w:val="1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themeColor="accent5" w:themeTint="9A" w:fill="92CCDC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tblPr>
      <w:tblStyleRowBandSize w:val="1"/>
      <w:tblStyleColBandSize w:val="1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themeColor="accent6" w:themeTint="98" w:fill="FAC090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</w:style>
  <w:style w:type="table" w:styleId="-60">
    <w:name w:val="List Table 6 Colorful"/>
    <w:basedOn w:val="a1"/>
    <w:uiPriority w:val="99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tblPr>
      <w:tblStyleRowBandSize w:val="1"/>
      <w:tblStyleColBandSize w:val="1"/>
      <w:tblBorders>
        <w:top w:val="single" w:sz="4" w:space="0" w:color="4F81BD" w:themeColor="accent1"/>
        <w:bottom w:val="single" w:sz="4" w:space="0" w:color="4F81BD" w:themeColor="accent1"/>
      </w:tblBorders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tblPr>
      <w:tblStyleRowBandSize w:val="1"/>
      <w:tblStyleColBandSize w:val="1"/>
      <w:tblBorders>
        <w:top w:val="single" w:sz="4" w:space="0" w:color="D99695" w:themeColor="accent2" w:themeTint="97"/>
        <w:bottom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tblPr>
      <w:tblStyleRowBandSize w:val="1"/>
      <w:tblStyleColBandSize w:val="1"/>
      <w:tblBorders>
        <w:top w:val="single" w:sz="4" w:space="0" w:color="C3D69B" w:themeColor="accent3" w:themeTint="98"/>
        <w:bottom w:val="single" w:sz="4" w:space="0" w:color="C3D69B" w:themeColor="accent3" w:themeTint="98"/>
      </w:tblBorders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tblPr>
      <w:tblStyleRowBandSize w:val="1"/>
      <w:tblStyleColBandSize w:val="1"/>
      <w:tblBorders>
        <w:top w:val="single" w:sz="4" w:space="0" w:color="B2A1C6" w:themeColor="accent4" w:themeTint="9A"/>
        <w:bottom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tblPr>
      <w:tblStyleRowBandSize w:val="1"/>
      <w:tblStyleColBandSize w:val="1"/>
      <w:tblBorders>
        <w:top w:val="single" w:sz="4" w:space="0" w:color="92CCDC" w:themeColor="accent5" w:themeTint="9A"/>
        <w:bottom w:val="single" w:sz="4" w:space="0" w:color="92CCDC" w:themeColor="accent5" w:themeTint="9A"/>
      </w:tblBorders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tblPr>
      <w:tblStyleRowBandSize w:val="1"/>
      <w:tblStyleColBandSize w:val="1"/>
      <w:tblBorders>
        <w:top w:val="single" w:sz="4" w:space="0" w:color="FAC090" w:themeColor="accent6" w:themeTint="98"/>
        <w:bottom w:val="single" w:sz="4" w:space="0" w:color="FAC090" w:themeColor="accent6" w:themeTint="98"/>
      </w:tblBorders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styleId="-70">
    <w:name w:val="List Table 7 Colorful"/>
    <w:basedOn w:val="a1"/>
    <w:uiPriority w:val="99"/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7F7F7F" w:themeColor="text1" w:themeTint="80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000000"/>
          <w:left w:val="single" w:sz="4" w:space="0" w:color="7F7F7F" w:themeColor="text1" w:themeTint="80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tblPr>
      <w:tblStyleRowBandSize w:val="1"/>
      <w:tblStyleColBandSize w:val="1"/>
      <w:tblBorders>
        <w:right w:val="single" w:sz="4" w:space="0" w:color="4F81BD" w:themeColor="accent1"/>
      </w:tblBorders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4F81BD" w:themeColor="accent1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000000"/>
          <w:left w:val="single" w:sz="4" w:space="0" w:color="4F81BD" w:themeColor="accent1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tblPr>
      <w:tblStyleRowBandSize w:val="1"/>
      <w:tblStyleColBandSize w:val="1"/>
      <w:tblBorders>
        <w:right w:val="single" w:sz="4" w:space="0" w:color="D99695" w:themeColor="accent2" w:themeTint="97"/>
      </w:tblBorders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D99695" w:themeColor="accent2" w:themeTint="97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000000"/>
          <w:left w:val="single" w:sz="4" w:space="0" w:color="D99695" w:themeColor="accent2" w:themeTint="97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tblPr>
      <w:tblStyleRowBandSize w:val="1"/>
      <w:tblStyleColBandSize w:val="1"/>
      <w:tblBorders>
        <w:right w:val="single" w:sz="4" w:space="0" w:color="C3D69B" w:themeColor="accent3" w:themeTint="98"/>
      </w:tblBorders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C3D69B" w:themeColor="accent3" w:themeTint="98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000000"/>
          <w:left w:val="single" w:sz="4" w:space="0" w:color="C3D69B" w:themeColor="accent3" w:themeTint="98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tblPr>
      <w:tblStyleRowBandSize w:val="1"/>
      <w:tblStyleColBandSize w:val="1"/>
      <w:tblBorders>
        <w:right w:val="single" w:sz="4" w:space="0" w:color="B2A1C6" w:themeColor="accent4" w:themeTint="9A"/>
      </w:tblBorders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B2A1C6" w:themeColor="accent4" w:themeTint="9A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000000"/>
          <w:left w:val="single" w:sz="4" w:space="0" w:color="B2A1C6" w:themeColor="accent4" w:themeTint="9A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tblPr>
      <w:tblStyleRowBandSize w:val="1"/>
      <w:tblStyleColBandSize w:val="1"/>
      <w:tblBorders>
        <w:right w:val="single" w:sz="4" w:space="0" w:color="92CCDC" w:themeColor="accent5" w:themeTint="9A"/>
      </w:tblBorders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92CCDC" w:themeColor="accent5" w:themeTint="9A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000000"/>
          <w:left w:val="single" w:sz="4" w:space="0" w:color="92CCDC" w:themeColor="accent5" w:themeTint="9A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tblPr>
      <w:tblStyleRowBandSize w:val="1"/>
      <w:tblStyleColBandSize w:val="1"/>
      <w:tblBorders>
        <w:right w:val="single" w:sz="4" w:space="0" w:color="FAC090" w:themeColor="accent6" w:themeTint="98"/>
      </w:tblBorders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FAC090" w:themeColor="accent6" w:themeTint="98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000000"/>
          <w:left w:val="single" w:sz="4" w:space="0" w:color="FAC090" w:themeColor="accent6" w:themeTint="98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Lined-Accent2">
    <w:name w:val="Lined - Accent 2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Lined-Accent3">
    <w:name w:val="Lined - Accent 3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Lined-Accent4">
    <w:name w:val="Lined - Accent 4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Lined-Accent5">
    <w:name w:val="Lined - Accent 5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Lined-Accent6">
    <w:name w:val="Lined - Accent 6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">
    <w:name w:val="Bordered"/>
    <w:basedOn w:val="a1"/>
    <w:uiPriority w:val="99"/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character" w:customStyle="1" w:styleId="10">
    <w:name w:val="Заголовок 1 Знак"/>
    <w:basedOn w:val="a0"/>
    <w:link w:val="1"/>
    <w:uiPriority w:val="9"/>
    <w:rPr>
      <w:rFonts w:ascii="Arial" w:eastAsia="Arial" w:hAnsi="Arial" w:cs="Arial"/>
      <w:color w:val="365F91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rPr>
      <w:rFonts w:ascii="Arial" w:eastAsia="Arial" w:hAnsi="Arial" w:cs="Arial"/>
      <w:color w:val="365F9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rPr>
      <w:rFonts w:ascii="Arial" w:eastAsia="Arial" w:hAnsi="Arial" w:cs="Arial"/>
      <w:color w:val="365F9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rPr>
      <w:rFonts w:ascii="Arial" w:eastAsia="Arial" w:hAnsi="Arial" w:cs="Arial"/>
      <w:i/>
      <w:iCs/>
      <w:color w:val="365F91" w:themeColor="accent1" w:themeShade="BF"/>
    </w:rPr>
  </w:style>
  <w:style w:type="character" w:customStyle="1" w:styleId="50">
    <w:name w:val="Заголовок 5 Знак"/>
    <w:basedOn w:val="a0"/>
    <w:link w:val="5"/>
    <w:uiPriority w:val="9"/>
    <w:rPr>
      <w:rFonts w:ascii="Arial" w:eastAsia="Arial" w:hAnsi="Arial" w:cs="Arial"/>
      <w:color w:val="365F91" w:themeColor="accent1" w:themeShade="BF"/>
    </w:rPr>
  </w:style>
  <w:style w:type="character" w:customStyle="1" w:styleId="60">
    <w:name w:val="Заголовок 6 Знак"/>
    <w:basedOn w:val="a0"/>
    <w:link w:val="6"/>
    <w:uiPriority w:val="9"/>
    <w:rPr>
      <w:rFonts w:ascii="Arial" w:eastAsia="Arial" w:hAnsi="Arial" w:cs="Arial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rPr>
      <w:rFonts w:ascii="Arial" w:eastAsia="Arial" w:hAnsi="Arial" w:cs="Arial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rPr>
      <w:rFonts w:ascii="Arial" w:eastAsia="Arial" w:hAnsi="Arial" w:cs="Arial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rPr>
      <w:rFonts w:ascii="Arial" w:eastAsia="Arial" w:hAnsi="Arial" w:cs="Arial"/>
      <w:i/>
      <w:iCs/>
      <w:color w:val="272727" w:themeColor="text1" w:themeTint="D8"/>
    </w:rPr>
  </w:style>
  <w:style w:type="paragraph" w:styleId="a5">
    <w:name w:val="Title"/>
    <w:basedOn w:val="a"/>
    <w:next w:val="a"/>
    <w:link w:val="a6"/>
    <w:uiPriority w:val="10"/>
    <w:qFormat/>
    <w:pPr>
      <w:spacing w:after="80"/>
      <w:contextualSpacing/>
    </w:pPr>
    <w:rPr>
      <w:rFonts w:ascii="Arial" w:eastAsia="Arial" w:hAnsi="Arial" w:cs="Arial"/>
      <w:spacing w:val="-10"/>
      <w:sz w:val="56"/>
      <w:szCs w:val="56"/>
    </w:rPr>
  </w:style>
  <w:style w:type="character" w:customStyle="1" w:styleId="a6">
    <w:name w:val="Заголовок Знак"/>
    <w:basedOn w:val="a0"/>
    <w:link w:val="a5"/>
    <w:uiPriority w:val="10"/>
    <w:rPr>
      <w:rFonts w:ascii="Arial" w:eastAsia="Arial" w:hAnsi="Arial" w:cs="Arial"/>
      <w:spacing w:val="-10"/>
      <w:sz w:val="56"/>
      <w:szCs w:val="56"/>
    </w:rPr>
  </w:style>
  <w:style w:type="paragraph" w:styleId="a7">
    <w:name w:val="Subtitle"/>
    <w:basedOn w:val="a"/>
    <w:next w:val="a"/>
    <w:link w:val="a8"/>
    <w:uiPriority w:val="11"/>
    <w:qFormat/>
    <w:pPr>
      <w:numPr>
        <w:ilvl w:val="1"/>
      </w:numPr>
    </w:pPr>
    <w:rPr>
      <w:color w:val="595959" w:themeColor="text1" w:themeTint="A6"/>
      <w:spacing w:val="15"/>
      <w:sz w:val="28"/>
      <w:szCs w:val="28"/>
    </w:rPr>
  </w:style>
  <w:style w:type="character" w:customStyle="1" w:styleId="a8">
    <w:name w:val="Подзаголовок Знак"/>
    <w:basedOn w:val="a0"/>
    <w:link w:val="a7"/>
    <w:uiPriority w:val="11"/>
    <w:rPr>
      <w:color w:val="595959" w:themeColor="text1" w:themeTint="A6"/>
      <w:spacing w:val="15"/>
      <w:sz w:val="28"/>
      <w:szCs w:val="28"/>
    </w:rPr>
  </w:style>
  <w:style w:type="paragraph" w:styleId="23">
    <w:name w:val="Quote"/>
    <w:basedOn w:val="a"/>
    <w:next w:val="a"/>
    <w:link w:val="24"/>
    <w:uiPriority w:val="29"/>
    <w:qFormat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4">
    <w:name w:val="Цитата 2 Знак"/>
    <w:basedOn w:val="a0"/>
    <w:link w:val="23"/>
    <w:uiPriority w:val="29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pPr>
      <w:ind w:left="720"/>
      <w:contextualSpacing/>
    </w:pPr>
  </w:style>
  <w:style w:type="character" w:styleId="aa">
    <w:name w:val="Intense Emphasis"/>
    <w:basedOn w:val="a0"/>
    <w:uiPriority w:val="21"/>
    <w:qFormat/>
    <w:rPr>
      <w:i/>
      <w:iCs/>
      <w:color w:val="365F91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pPr>
      <w:pBdr>
        <w:top w:val="single" w:sz="4" w:space="10" w:color="365F91" w:themeColor="accent1" w:themeShade="BF"/>
        <w:bottom w:val="single" w:sz="4" w:space="10" w:color="365F91" w:themeColor="accent1" w:themeShade="BF"/>
      </w:pBdr>
      <w:spacing w:before="360" w:after="360"/>
      <w:ind w:left="864" w:right="864"/>
      <w:jc w:val="center"/>
    </w:pPr>
    <w:rPr>
      <w:i/>
      <w:iCs/>
      <w:color w:val="365F91" w:themeColor="accent1" w:themeShade="BF"/>
    </w:rPr>
  </w:style>
  <w:style w:type="character" w:customStyle="1" w:styleId="ac">
    <w:name w:val="Выделенная цитата Знак"/>
    <w:basedOn w:val="a0"/>
    <w:link w:val="ab"/>
    <w:uiPriority w:val="30"/>
    <w:rPr>
      <w:i/>
      <w:iCs/>
      <w:color w:val="365F91" w:themeColor="accent1" w:themeShade="BF"/>
    </w:rPr>
  </w:style>
  <w:style w:type="character" w:styleId="ad">
    <w:name w:val="Intense Reference"/>
    <w:basedOn w:val="a0"/>
    <w:uiPriority w:val="32"/>
    <w:qFormat/>
    <w:rPr>
      <w:b/>
      <w:bCs/>
      <w:smallCaps/>
      <w:color w:val="365F91" w:themeColor="accent1" w:themeShade="BF"/>
      <w:spacing w:val="5"/>
    </w:rPr>
  </w:style>
  <w:style w:type="paragraph" w:styleId="ae">
    <w:name w:val="No Spacing"/>
    <w:basedOn w:val="a"/>
    <w:uiPriority w:val="1"/>
    <w:qFormat/>
  </w:style>
  <w:style w:type="character" w:styleId="af">
    <w:name w:val="Subtle Emphasis"/>
    <w:basedOn w:val="a0"/>
    <w:uiPriority w:val="19"/>
    <w:qFormat/>
    <w:rPr>
      <w:i/>
      <w:iCs/>
      <w:color w:val="404040" w:themeColor="text1" w:themeTint="BF"/>
    </w:rPr>
  </w:style>
  <w:style w:type="character" w:styleId="af0">
    <w:name w:val="Emphasis"/>
    <w:basedOn w:val="a0"/>
    <w:uiPriority w:val="20"/>
    <w:qFormat/>
    <w:rPr>
      <w:i/>
      <w:iCs/>
    </w:rPr>
  </w:style>
  <w:style w:type="character" w:styleId="af1">
    <w:name w:val="Strong"/>
    <w:qFormat/>
    <w:rPr>
      <w:b/>
      <w:bCs/>
    </w:rPr>
  </w:style>
  <w:style w:type="character" w:styleId="af2">
    <w:name w:val="Subtle Reference"/>
    <w:basedOn w:val="a0"/>
    <w:uiPriority w:val="31"/>
    <w:qFormat/>
    <w:rPr>
      <w:smallCaps/>
      <w:color w:val="5A5A5A" w:themeColor="text1" w:themeTint="A5"/>
    </w:rPr>
  </w:style>
  <w:style w:type="character" w:styleId="af3">
    <w:name w:val="Book Title"/>
    <w:basedOn w:val="a0"/>
    <w:uiPriority w:val="33"/>
    <w:qFormat/>
    <w:rPr>
      <w:b/>
      <w:bCs/>
      <w:i/>
      <w:iCs/>
      <w:spacing w:val="5"/>
    </w:rPr>
  </w:style>
  <w:style w:type="paragraph" w:styleId="af4">
    <w:name w:val="header"/>
    <w:basedOn w:val="a"/>
    <w:link w:val="13"/>
    <w:pPr>
      <w:tabs>
        <w:tab w:val="center" w:pos="4677"/>
        <w:tab w:val="right" w:pos="9355"/>
      </w:tabs>
    </w:pPr>
    <w:rPr>
      <w:rFonts w:ascii="NTTimes/Cyrillic" w:hAnsi="NTTimes/Cyrillic" w:cs="NTTimes/Cyrillic"/>
      <w:lang w:val="en-US"/>
    </w:rPr>
  </w:style>
  <w:style w:type="character" w:customStyle="1" w:styleId="13">
    <w:name w:val="Верхний колонтитул Знак1"/>
    <w:basedOn w:val="a0"/>
    <w:link w:val="af4"/>
    <w:uiPriority w:val="99"/>
  </w:style>
  <w:style w:type="paragraph" w:styleId="af5">
    <w:name w:val="footer"/>
    <w:basedOn w:val="a"/>
    <w:link w:val="14"/>
    <w:pPr>
      <w:tabs>
        <w:tab w:val="center" w:pos="4677"/>
        <w:tab w:val="right" w:pos="9355"/>
      </w:tabs>
    </w:pPr>
    <w:rPr>
      <w:rFonts w:ascii="NTTimes/Cyrillic" w:hAnsi="NTTimes/Cyrillic" w:cs="NTTimes/Cyrillic"/>
      <w:lang w:val="en-US"/>
    </w:rPr>
  </w:style>
  <w:style w:type="character" w:customStyle="1" w:styleId="14">
    <w:name w:val="Нижний колонтитул Знак1"/>
    <w:basedOn w:val="a0"/>
    <w:link w:val="af5"/>
    <w:uiPriority w:val="99"/>
  </w:style>
  <w:style w:type="paragraph" w:styleId="af6">
    <w:name w:val="caption"/>
    <w:basedOn w:val="a"/>
    <w:qFormat/>
    <w:pPr>
      <w:suppressLineNumbers/>
      <w:spacing w:before="120" w:after="120"/>
    </w:pPr>
    <w:rPr>
      <w:rFonts w:cs="Lucida Sans"/>
      <w:i/>
      <w:iCs/>
    </w:rPr>
  </w:style>
  <w:style w:type="paragraph" w:styleId="af7">
    <w:name w:val="footnote text"/>
    <w:basedOn w:val="a"/>
    <w:link w:val="15"/>
    <w:rPr>
      <w:sz w:val="20"/>
      <w:szCs w:val="20"/>
    </w:rPr>
  </w:style>
  <w:style w:type="character" w:customStyle="1" w:styleId="15">
    <w:name w:val="Текст сноски Знак1"/>
    <w:basedOn w:val="a0"/>
    <w:link w:val="af7"/>
    <w:uiPriority w:val="99"/>
    <w:semiHidden/>
    <w:rPr>
      <w:sz w:val="20"/>
      <w:szCs w:val="20"/>
    </w:rPr>
  </w:style>
  <w:style w:type="character" w:styleId="af8">
    <w:name w:val="footnote reference"/>
    <w:rPr>
      <w:vertAlign w:val="superscript"/>
    </w:rPr>
  </w:style>
  <w:style w:type="paragraph" w:styleId="af9">
    <w:name w:val="endnote text"/>
    <w:basedOn w:val="a"/>
    <w:link w:val="afa"/>
    <w:uiPriority w:val="99"/>
    <w:semiHidden/>
    <w:unhideWhenUsed/>
    <w:rPr>
      <w:sz w:val="20"/>
      <w:szCs w:val="20"/>
    </w:rPr>
  </w:style>
  <w:style w:type="character" w:customStyle="1" w:styleId="afa">
    <w:name w:val="Текст концевой сноски Знак"/>
    <w:basedOn w:val="a0"/>
    <w:link w:val="af9"/>
    <w:uiPriority w:val="99"/>
    <w:semiHidden/>
    <w:rPr>
      <w:sz w:val="20"/>
      <w:szCs w:val="20"/>
    </w:rPr>
  </w:style>
  <w:style w:type="character" w:styleId="afb">
    <w:name w:val="endnote reference"/>
    <w:rPr>
      <w:vertAlign w:val="superscript"/>
    </w:rPr>
  </w:style>
  <w:style w:type="character" w:styleId="afc">
    <w:name w:val="Hyperlink"/>
    <w:rPr>
      <w:color w:val="0000FF"/>
      <w:u w:val="single"/>
    </w:rPr>
  </w:style>
  <w:style w:type="character" w:styleId="afd">
    <w:name w:val="FollowedHyperlink"/>
    <w:basedOn w:val="a0"/>
    <w:uiPriority w:val="99"/>
    <w:semiHidden/>
    <w:unhideWhenUsed/>
    <w:rPr>
      <w:color w:val="800080" w:themeColor="followedHyperlink"/>
      <w:u w:val="single"/>
    </w:rPr>
  </w:style>
  <w:style w:type="paragraph" w:styleId="afe">
    <w:name w:val="TOC Heading"/>
    <w:uiPriority w:val="39"/>
    <w:unhideWhenUsed/>
  </w:style>
  <w:style w:type="paragraph" w:styleId="aff">
    <w:name w:val="table of figures"/>
    <w:basedOn w:val="a"/>
    <w:next w:val="a"/>
    <w:uiPriority w:val="99"/>
    <w:unhideWhenUsed/>
  </w:style>
  <w:style w:type="character" w:customStyle="1" w:styleId="WW8Num1z0">
    <w:name w:val="WW8Num1z0"/>
    <w:rPr>
      <w:color w:val="000000"/>
    </w:rPr>
  </w:style>
  <w:style w:type="character" w:customStyle="1" w:styleId="25">
    <w:name w:val="Основной шрифт абзаца2"/>
  </w:style>
  <w:style w:type="character" w:customStyle="1" w:styleId="WW8Num2z0">
    <w:name w:val="WW8Num2z0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color w:val="000000"/>
      <w:spacing w:val="6"/>
      <w:position w:val="0"/>
      <w:sz w:val="24"/>
      <w:szCs w:val="24"/>
      <w:u w:val="none"/>
      <w:vertAlign w:val="baseline"/>
    </w:rPr>
  </w:style>
  <w:style w:type="character" w:customStyle="1" w:styleId="WW8Num3z0">
    <w:name w:val="WW8Num3z0"/>
    <w:rPr>
      <w:color w:val="000000"/>
    </w:rPr>
  </w:style>
  <w:style w:type="character" w:customStyle="1" w:styleId="WW8Num4z0">
    <w:name w:val="WW8Num4z0"/>
    <w:rPr>
      <w:b/>
      <w:bCs/>
      <w:i w:val="0"/>
      <w:iCs w:val="0"/>
    </w:rPr>
  </w:style>
  <w:style w:type="character" w:customStyle="1" w:styleId="WW8Num7z0">
    <w:name w:val="WW8Num7z0"/>
    <w:rPr>
      <w:color w:val="000000"/>
    </w:rPr>
  </w:style>
  <w:style w:type="character" w:customStyle="1" w:styleId="WW8Num8z0">
    <w:name w:val="WW8Num8z0"/>
    <w:rPr>
      <w:rFonts w:ascii="Times New Roman" w:hAnsi="Times New Roman" w:cs="Times New Roman"/>
      <w:b/>
      <w:bCs/>
      <w:i w:val="0"/>
      <w:iCs w:val="0"/>
      <w:sz w:val="24"/>
      <w:szCs w:val="24"/>
      <w:u w:val="none"/>
    </w:rPr>
  </w:style>
  <w:style w:type="character" w:customStyle="1" w:styleId="WW8Num9z0">
    <w:name w:val="WW8Num9z0"/>
    <w:rPr>
      <w:color w:val="000000"/>
    </w:rPr>
  </w:style>
  <w:style w:type="character" w:customStyle="1" w:styleId="WW8Num10z0">
    <w:name w:val="WW8Num10z0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color w:val="000000"/>
      <w:spacing w:val="0"/>
      <w:position w:val="0"/>
      <w:sz w:val="24"/>
      <w:szCs w:val="24"/>
      <w:u w:val="none"/>
      <w:vertAlign w:val="baseline"/>
    </w:rPr>
  </w:style>
  <w:style w:type="character" w:customStyle="1" w:styleId="WW8Num11z0">
    <w:name w:val="WW8Num11z0"/>
    <w:rPr>
      <w:rFonts w:ascii="Times New Roman" w:hAnsi="Times New Roman" w:cs="Times New Roman"/>
      <w:b/>
      <w:bCs/>
      <w:i w:val="0"/>
      <w:iCs w:val="0"/>
      <w:sz w:val="24"/>
      <w:szCs w:val="24"/>
      <w:u w:val="none"/>
    </w:rPr>
  </w:style>
  <w:style w:type="character" w:customStyle="1" w:styleId="16">
    <w:name w:val="Основной шрифт абзаца1"/>
  </w:style>
  <w:style w:type="character" w:customStyle="1" w:styleId="26">
    <w:name w:val="Основной текст 2 Знак"/>
    <w:rPr>
      <w:sz w:val="24"/>
      <w:szCs w:val="24"/>
      <w:lang w:val="ru-RU" w:bidi="ar-SA"/>
    </w:rPr>
  </w:style>
  <w:style w:type="character" w:customStyle="1" w:styleId="33">
    <w:name w:val="Основной текст с отступом 3 Знак"/>
    <w:rPr>
      <w:sz w:val="16"/>
      <w:szCs w:val="16"/>
      <w:lang w:val="ru-RU" w:bidi="ar-SA"/>
    </w:rPr>
  </w:style>
  <w:style w:type="character" w:customStyle="1" w:styleId="aff0">
    <w:name w:val="Название Знак"/>
    <w:rPr>
      <w:b/>
      <w:bCs/>
      <w:sz w:val="28"/>
      <w:szCs w:val="28"/>
      <w:lang w:val="ru-RU" w:bidi="ar-SA"/>
    </w:rPr>
  </w:style>
  <w:style w:type="character" w:customStyle="1" w:styleId="17">
    <w:name w:val="Знак примечания1"/>
    <w:rPr>
      <w:sz w:val="16"/>
      <w:szCs w:val="16"/>
    </w:rPr>
  </w:style>
  <w:style w:type="character" w:customStyle="1" w:styleId="aff1">
    <w:name w:val="Текст примечания Знак"/>
    <w:rPr>
      <w:color w:val="000000"/>
    </w:rPr>
  </w:style>
  <w:style w:type="character" w:customStyle="1" w:styleId="aff2">
    <w:name w:val="Тема примечания Знак"/>
    <w:rPr>
      <w:b/>
      <w:bCs/>
      <w:color w:val="000000"/>
    </w:rPr>
  </w:style>
  <w:style w:type="character" w:customStyle="1" w:styleId="aff3">
    <w:name w:val="Текст выноски Знак"/>
    <w:rPr>
      <w:rFonts w:ascii="Segoe UI" w:hAnsi="Segoe UI" w:cs="Segoe UI"/>
      <w:color w:val="000000"/>
      <w:sz w:val="18"/>
      <w:szCs w:val="18"/>
    </w:rPr>
  </w:style>
  <w:style w:type="character" w:customStyle="1" w:styleId="34">
    <w:name w:val="Основной текст 3 Знак"/>
    <w:rPr>
      <w:color w:val="000000"/>
      <w:sz w:val="16"/>
      <w:szCs w:val="16"/>
    </w:rPr>
  </w:style>
  <w:style w:type="character" w:customStyle="1" w:styleId="aff4">
    <w:name w:val="Основной текст с отступом Знак"/>
    <w:rPr>
      <w:sz w:val="24"/>
      <w:szCs w:val="24"/>
    </w:rPr>
  </w:style>
  <w:style w:type="character" w:customStyle="1" w:styleId="aff5">
    <w:name w:val="Основной текст_"/>
    <w:rPr>
      <w:shd w:val="clear" w:color="auto" w:fill="FFFFFF"/>
    </w:rPr>
  </w:style>
  <w:style w:type="character" w:customStyle="1" w:styleId="aff6">
    <w:name w:val="Основной текст + Полужирный"/>
    <w:rPr>
      <w:rFonts w:ascii="Times New Roman" w:hAnsi="Times New Roman" w:cs="Times New Roman"/>
      <w:b/>
      <w:bCs/>
      <w:color w:val="000000"/>
      <w:spacing w:val="0"/>
      <w:position w:val="0"/>
      <w:sz w:val="24"/>
      <w:shd w:val="clear" w:color="auto" w:fill="FFFFFF"/>
      <w:vertAlign w:val="baseline"/>
      <w:lang w:val="ru-RU"/>
    </w:rPr>
  </w:style>
  <w:style w:type="character" w:customStyle="1" w:styleId="27">
    <w:name w:val="Основной текст (2) + Не полужирный"/>
    <w:rPr>
      <w:rFonts w:ascii="Times New Roman" w:hAnsi="Times New Roman" w:cs="Times New Roman"/>
      <w:b/>
      <w:bCs/>
      <w:color w:val="000000"/>
      <w:spacing w:val="0"/>
      <w:position w:val="0"/>
      <w:sz w:val="24"/>
      <w:shd w:val="clear" w:color="auto" w:fill="FFFFFF"/>
      <w:vertAlign w:val="baseline"/>
      <w:lang w:val="ru-RU"/>
    </w:rPr>
  </w:style>
  <w:style w:type="character" w:customStyle="1" w:styleId="aff7">
    <w:name w:val="Верхний колонтитул Знак"/>
    <w:rPr>
      <w:rFonts w:ascii="NTTimes/Cyrillic" w:hAnsi="NTTimes/Cyrillic" w:cs="NTTimes/Cyrillic"/>
      <w:sz w:val="24"/>
      <w:szCs w:val="24"/>
      <w:lang w:val="en-US"/>
    </w:rPr>
  </w:style>
  <w:style w:type="character" w:customStyle="1" w:styleId="aff8">
    <w:name w:val="Нижний колонтитул Знак"/>
    <w:rPr>
      <w:rFonts w:ascii="NTTimes/Cyrillic" w:hAnsi="NTTimes/Cyrillic" w:cs="NTTimes/Cyrillic"/>
      <w:sz w:val="24"/>
      <w:szCs w:val="24"/>
      <w:lang w:val="en-US"/>
    </w:rPr>
  </w:style>
  <w:style w:type="character" w:customStyle="1" w:styleId="aff9">
    <w:name w:val="Текст сноски Знак"/>
    <w:rPr>
      <w:color w:val="000000"/>
    </w:rPr>
  </w:style>
  <w:style w:type="character" w:customStyle="1" w:styleId="affa">
    <w:name w:val="Символ сноски"/>
    <w:rPr>
      <w:vertAlign w:val="superscript"/>
    </w:rPr>
  </w:style>
  <w:style w:type="character" w:customStyle="1" w:styleId="18">
    <w:name w:val="Знак сноски1"/>
    <w:rPr>
      <w:vertAlign w:val="superscript"/>
    </w:rPr>
  </w:style>
  <w:style w:type="character" w:styleId="affb">
    <w:name w:val="line number"/>
  </w:style>
  <w:style w:type="character" w:customStyle="1" w:styleId="affc">
    <w:name w:val="Символ концевой сноски"/>
    <w:rPr>
      <w:vertAlign w:val="superscript"/>
    </w:rPr>
  </w:style>
  <w:style w:type="character" w:customStyle="1" w:styleId="WW-">
    <w:name w:val="WW-Символ концевой сноски"/>
  </w:style>
  <w:style w:type="character" w:customStyle="1" w:styleId="19">
    <w:name w:val="Знак концевой сноски1"/>
    <w:rPr>
      <w:vertAlign w:val="superscript"/>
    </w:rPr>
  </w:style>
  <w:style w:type="paragraph" w:customStyle="1" w:styleId="28">
    <w:name w:val="Заголовок2"/>
    <w:basedOn w:val="a"/>
    <w:next w:val="affd"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affd">
    <w:name w:val="Body Text"/>
    <w:basedOn w:val="a"/>
    <w:pPr>
      <w:spacing w:after="140" w:line="276" w:lineRule="auto"/>
    </w:pPr>
  </w:style>
  <w:style w:type="paragraph" w:styleId="affe">
    <w:name w:val="List"/>
    <w:basedOn w:val="affd"/>
    <w:rPr>
      <w:rFonts w:cs="Lucida Sans"/>
    </w:rPr>
  </w:style>
  <w:style w:type="paragraph" w:customStyle="1" w:styleId="29">
    <w:name w:val="Указатель2"/>
    <w:basedOn w:val="a"/>
    <w:pPr>
      <w:suppressLineNumbers/>
    </w:pPr>
    <w:rPr>
      <w:rFonts w:cs="Lucida Sans"/>
      <w:lang w:val="en-US" w:eastAsia="en-US" w:bidi="en-US"/>
    </w:rPr>
  </w:style>
  <w:style w:type="paragraph" w:customStyle="1" w:styleId="1a">
    <w:name w:val="Заголовок1"/>
    <w:basedOn w:val="a"/>
    <w:next w:val="affd"/>
    <w:pPr>
      <w:jc w:val="center"/>
    </w:pPr>
    <w:rPr>
      <w:b/>
      <w:bCs/>
      <w:sz w:val="28"/>
      <w:szCs w:val="28"/>
    </w:rPr>
  </w:style>
  <w:style w:type="paragraph" w:customStyle="1" w:styleId="1b">
    <w:name w:val="Название объекта1"/>
    <w:basedOn w:val="a"/>
    <w:pPr>
      <w:suppressLineNumbers/>
      <w:spacing w:before="120" w:after="120"/>
    </w:pPr>
    <w:rPr>
      <w:rFonts w:cs="Lucida Sans"/>
      <w:i/>
      <w:iCs/>
    </w:rPr>
  </w:style>
  <w:style w:type="paragraph" w:customStyle="1" w:styleId="1c">
    <w:name w:val="Указатель1"/>
    <w:basedOn w:val="a"/>
    <w:pPr>
      <w:suppressLineNumbers/>
    </w:pPr>
    <w:rPr>
      <w:rFonts w:cs="Lucida Sans"/>
      <w:lang w:val="en-US" w:bidi="en-US"/>
    </w:rPr>
  </w:style>
  <w:style w:type="paragraph" w:customStyle="1" w:styleId="210">
    <w:name w:val="Основной текст 21"/>
    <w:basedOn w:val="a"/>
    <w:pPr>
      <w:spacing w:after="120" w:line="480" w:lineRule="auto"/>
    </w:pPr>
  </w:style>
  <w:style w:type="paragraph" w:customStyle="1" w:styleId="310">
    <w:name w:val="Основной текст с отступом 31"/>
    <w:basedOn w:val="a"/>
    <w:pPr>
      <w:spacing w:after="120"/>
      <w:ind w:left="283"/>
    </w:pPr>
    <w:rPr>
      <w:sz w:val="16"/>
      <w:szCs w:val="16"/>
    </w:rPr>
  </w:style>
  <w:style w:type="paragraph" w:styleId="2a">
    <w:name w:val="Body Text 2"/>
    <w:basedOn w:val="a"/>
    <w:pPr>
      <w:ind w:firstLine="567"/>
      <w:jc w:val="both"/>
    </w:pPr>
    <w:rPr>
      <w:sz w:val="22"/>
      <w:szCs w:val="20"/>
    </w:rPr>
  </w:style>
  <w:style w:type="paragraph" w:customStyle="1" w:styleId="1d">
    <w:name w:val="Текст примечания1"/>
    <w:basedOn w:val="a"/>
    <w:rPr>
      <w:sz w:val="20"/>
      <w:szCs w:val="20"/>
    </w:rPr>
  </w:style>
  <w:style w:type="paragraph" w:styleId="afff">
    <w:name w:val="annotation subject"/>
    <w:basedOn w:val="1d"/>
    <w:next w:val="1d"/>
    <w:rPr>
      <w:b/>
      <w:bCs/>
    </w:rPr>
  </w:style>
  <w:style w:type="paragraph" w:styleId="afff0">
    <w:name w:val="Balloon Text"/>
    <w:basedOn w:val="a"/>
    <w:rPr>
      <w:rFonts w:ascii="Segoe UI" w:hAnsi="Segoe UI" w:cs="Segoe UI"/>
      <w:sz w:val="18"/>
      <w:szCs w:val="18"/>
    </w:rPr>
  </w:style>
  <w:style w:type="paragraph" w:customStyle="1" w:styleId="311">
    <w:name w:val="Основной текст 31"/>
    <w:basedOn w:val="a"/>
    <w:pPr>
      <w:spacing w:after="120"/>
    </w:pPr>
    <w:rPr>
      <w:sz w:val="16"/>
      <w:szCs w:val="16"/>
    </w:rPr>
  </w:style>
  <w:style w:type="paragraph" w:styleId="afff1">
    <w:name w:val="Body Text Indent"/>
    <w:basedOn w:val="a"/>
    <w:pPr>
      <w:ind w:right="-57" w:firstLine="720"/>
      <w:jc w:val="both"/>
    </w:pPr>
  </w:style>
  <w:style w:type="paragraph" w:customStyle="1" w:styleId="2b">
    <w:name w:val="Основной текст2"/>
    <w:basedOn w:val="a"/>
    <w:pPr>
      <w:widowControl w:val="0"/>
      <w:shd w:val="clear" w:color="auto" w:fill="FFFFFF"/>
      <w:spacing w:before="300" w:line="274" w:lineRule="exact"/>
      <w:ind w:hanging="1140"/>
      <w:jc w:val="both"/>
    </w:pPr>
    <w:rPr>
      <w:sz w:val="20"/>
      <w:szCs w:val="20"/>
    </w:rPr>
  </w:style>
  <w:style w:type="paragraph" w:styleId="afff2">
    <w:name w:val="Revision"/>
    <w:rPr>
      <w:rFonts w:ascii="NTTimes/Cyrillic" w:hAnsi="NTTimes/Cyrillic" w:cs="NTTimes/Cyrillic"/>
      <w:sz w:val="24"/>
      <w:szCs w:val="24"/>
      <w:lang w:val="en-US"/>
    </w:rPr>
  </w:style>
  <w:style w:type="paragraph" w:customStyle="1" w:styleId="afff3">
    <w:name w:val="Колонтитул"/>
    <w:basedOn w:val="a"/>
    <w:pPr>
      <w:suppressLineNumbers/>
      <w:tabs>
        <w:tab w:val="center" w:pos="4819"/>
        <w:tab w:val="right" w:pos="9638"/>
      </w:tabs>
    </w:pPr>
  </w:style>
  <w:style w:type="paragraph" w:customStyle="1" w:styleId="afff4">
    <w:name w:val="Содержимое таблицы"/>
    <w:basedOn w:val="a"/>
    <w:pPr>
      <w:widowControl w:val="0"/>
      <w:suppressLineNumbers/>
    </w:pPr>
  </w:style>
  <w:style w:type="paragraph" w:customStyle="1" w:styleId="afff5">
    <w:name w:val="Заголовок таблицы"/>
    <w:basedOn w:val="afff4"/>
    <w:pPr>
      <w:jc w:val="center"/>
    </w:pPr>
    <w:rPr>
      <w:b/>
      <w:bCs/>
    </w:rPr>
  </w:style>
  <w:style w:type="character" w:styleId="afff6">
    <w:name w:val="annotation reference"/>
    <w:basedOn w:val="a0"/>
    <w:uiPriority w:val="99"/>
    <w:semiHidden/>
    <w:unhideWhenUsed/>
    <w:rPr>
      <w:sz w:val="16"/>
      <w:szCs w:val="16"/>
    </w:rPr>
  </w:style>
  <w:style w:type="paragraph" w:styleId="afff7">
    <w:name w:val="annotation text"/>
    <w:basedOn w:val="a"/>
    <w:link w:val="1e"/>
    <w:uiPriority w:val="99"/>
    <w:unhideWhenUsed/>
    <w:rPr>
      <w:sz w:val="20"/>
      <w:szCs w:val="20"/>
    </w:rPr>
  </w:style>
  <w:style w:type="character" w:customStyle="1" w:styleId="1e">
    <w:name w:val="Текст примечания Знак1"/>
    <w:basedOn w:val="a0"/>
    <w:link w:val="afff7"/>
    <w:uiPriority w:val="99"/>
    <w:rPr>
      <w:color w:val="000000"/>
    </w:rPr>
  </w:style>
  <w:style w:type="character" w:customStyle="1" w:styleId="fontstyle01">
    <w:name w:val="fontstyle01"/>
    <w:qFormat/>
    <w:rPr>
      <w:rFonts w:ascii="TimesNewRomanPSMT" w:hAnsi="TimesNewRomanPSMT"/>
      <w:b w:val="0"/>
      <w:bCs w:val="0"/>
      <w:i w:val="0"/>
      <w:iCs w:val="0"/>
      <w:color w:val="000000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>
  <a:themeElements>
    <a:clrScheme name="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">
      <a:majorFont>
        <a:latin typeface="Arial"/>
        <a:ea typeface="Arial"/>
        <a:cs typeface="Arial"/>
      </a:majorFont>
      <a:minorFont>
        <a:latin typeface="Arial"/>
        <a:ea typeface="Arial"/>
        <a:cs typeface="Arial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</a:ln>
        <a:ln w="25400">
          <a:solidFill>
            <a:schemeClr val="phClr"/>
          </a:solidFill>
        </a:ln>
        <a:ln w="38100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rgbClr val="000000"/>
        </a:solidFill>
        <a:solidFill>
          <a:srgbClr val="000000"/>
        </a:soli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3</Pages>
  <Words>1560</Words>
  <Characters>8895</Characters>
  <Application>Microsoft Office Word</Application>
  <DocSecurity>0</DocSecurity>
  <Lines>74</Lines>
  <Paragraphs>20</Paragraphs>
  <ScaleCrop>false</ScaleCrop>
  <Company/>
  <LinksUpToDate>false</LinksUpToDate>
  <CharactersWithSpaces>10435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Договор о задатке №____</dc:title>
  <dc:creator>upr12</dc:creator>
  <cp:lastModifiedBy>Гоникберг Полина Эрнестовна</cp:lastModifiedBy>
  <cp:revision>26</cp:revision>
  <dcterms:created xsi:type="dcterms:W3CDTF">2022-10-03T15:51:00Z</dcterms:created>
  <dcterms:modified xsi:type="dcterms:W3CDTF">2026-03-17T09:28:00Z</dcterms:modified>
  <cp:version>1048576</cp:version>
</cp:coreProperties>
</file>