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E220" w14:textId="77777777" w:rsidR="00355532" w:rsidRDefault="00355532">
      <w:pPr>
        <w:pStyle w:val="1a"/>
        <w:rPr>
          <w:sz w:val="22"/>
          <w:szCs w:val="22"/>
        </w:rPr>
      </w:pPr>
    </w:p>
    <w:p w14:paraId="12089FEC" w14:textId="77777777" w:rsidR="00355532" w:rsidRDefault="00C902BB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6FEBE059" w14:textId="77777777" w:rsidR="00355532" w:rsidRDefault="00C902BB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70A9857" w14:textId="77777777" w:rsidR="00355532" w:rsidRDefault="00355532">
      <w:pPr>
        <w:pStyle w:val="1a"/>
        <w:rPr>
          <w:b w:val="0"/>
          <w:bCs w:val="0"/>
          <w:spacing w:val="30"/>
          <w:sz w:val="22"/>
          <w:szCs w:val="22"/>
        </w:rPr>
      </w:pPr>
    </w:p>
    <w:p w14:paraId="7C830B8E" w14:textId="71724266" w:rsidR="00355532" w:rsidRDefault="00C902BB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 w:rsidRPr="00C902BB">
        <w:rPr>
          <w:b/>
          <w:bCs/>
          <w:sz w:val="22"/>
          <w:szCs w:val="22"/>
        </w:rPr>
        <w:t>Акционерное общество «Российский аукционный дом» (АО «РАД»),</w:t>
      </w:r>
      <w:r w:rsidRPr="00C902BB">
        <w:rPr>
          <w:bCs/>
          <w:sz w:val="22"/>
          <w:szCs w:val="22"/>
        </w:rPr>
        <w:t xml:space="preserve"> именуемое в дальнейшем «Организатор торгов», «Оператор электронной площадки», в лице директора Южного филиала АО «РАД» Суворовой Любови Андреевны, действующей на основании Доверенности от 01.01.2026 г. №Д-057</w:t>
      </w:r>
      <w:r>
        <w:rPr>
          <w:sz w:val="22"/>
          <w:szCs w:val="22"/>
        </w:rPr>
        <w:t xml:space="preserve">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A5F5181" w14:textId="77777777" w:rsidR="00355532" w:rsidRDefault="00355532">
      <w:pPr>
        <w:ind w:right="-57" w:firstLine="567"/>
        <w:jc w:val="both"/>
        <w:rPr>
          <w:sz w:val="22"/>
          <w:szCs w:val="22"/>
        </w:rPr>
      </w:pPr>
    </w:p>
    <w:p w14:paraId="45C692B6" w14:textId="77777777" w:rsidR="00355532" w:rsidRDefault="00C902BB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14:paraId="6DF72994" w14:textId="77777777" w:rsidR="00355532" w:rsidRDefault="00C902BB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__________________________________________, перечисляет денежные средства </w:t>
      </w:r>
      <w:r>
        <w:rPr>
          <w:b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>размере ________</w:t>
      </w:r>
      <w:proofErr w:type="gramStart"/>
      <w:r>
        <w:rPr>
          <w:b/>
          <w:bCs/>
          <w:sz w:val="22"/>
          <w:szCs w:val="22"/>
        </w:rPr>
        <w:t>_(</w:t>
      </w:r>
      <w:proofErr w:type="gramEnd"/>
      <w:r>
        <w:rPr>
          <w:b/>
          <w:bCs/>
          <w:sz w:val="22"/>
          <w:szCs w:val="22"/>
        </w:rPr>
        <w:t xml:space="preserve">______________) </w:t>
      </w:r>
      <w:r>
        <w:rPr>
          <w:rFonts w:eastAsia="Calibri"/>
          <w:b/>
          <w:bCs/>
          <w:sz w:val="22"/>
          <w:szCs w:val="22"/>
          <w:lang w:eastAsia="en-US"/>
        </w:rPr>
        <w:t xml:space="preserve">рублей 00 копеек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14:paraId="3E030E53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16494DDD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153CC43F" w14:textId="77777777" w:rsidR="00355532" w:rsidRDefault="00C902BB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574157C3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00D0BA7F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28F47C4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DC11BCC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64542E22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C7AC411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5CC0815D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602FA7AC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F4057FD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>
        <w:rPr>
          <w:sz w:val="22"/>
          <w:szCs w:val="22"/>
        </w:rPr>
        <w:t>или единственным участником</w:t>
      </w:r>
      <w:bookmarkEnd w:id="1"/>
      <w:r>
        <w:rPr>
          <w:sz w:val="22"/>
          <w:szCs w:val="22"/>
        </w:rPr>
        <w:t xml:space="preserve"> торгов в электронной форме.</w:t>
      </w:r>
    </w:p>
    <w:p w14:paraId="027C4AF9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7554DF90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10. В случае уклонении (отказа) победителя торгов/единственного участника </w:t>
      </w:r>
      <w:bookmarkStart w:id="2" w:name="_Hlk171671753"/>
      <w:r>
        <w:rPr>
          <w:sz w:val="22"/>
          <w:szCs w:val="22"/>
        </w:rPr>
        <w:t>торгов</w:t>
      </w:r>
      <w:bookmarkEnd w:id="2"/>
      <w:r>
        <w:rPr>
          <w:sz w:val="22"/>
          <w:szCs w:val="22"/>
        </w:rPr>
        <w:t xml:space="preserve"> от подписания договора купли-продажи или </w:t>
      </w:r>
      <w:proofErr w:type="gramStart"/>
      <w:r>
        <w:rPr>
          <w:sz w:val="22"/>
          <w:szCs w:val="22"/>
        </w:rPr>
        <w:t>оплаты  цены</w:t>
      </w:r>
      <w:proofErr w:type="gramEnd"/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14:paraId="54117E7D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3E2E76D3" w14:textId="77777777" w:rsidR="00355532" w:rsidRDefault="00C902B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7914855" w14:textId="77777777" w:rsidR="00355532" w:rsidRDefault="00355532">
      <w:pPr>
        <w:ind w:firstLine="567"/>
        <w:jc w:val="both"/>
        <w:rPr>
          <w:sz w:val="22"/>
          <w:szCs w:val="22"/>
        </w:rPr>
      </w:pPr>
    </w:p>
    <w:p w14:paraId="3B90A9E3" w14:textId="77777777" w:rsidR="00355532" w:rsidRDefault="00C902BB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7D24E78" w14:textId="77777777" w:rsidR="00355532" w:rsidRDefault="00355532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355532" w14:paraId="5CEEF88E" w14:textId="77777777">
        <w:trPr>
          <w:trHeight w:val="3059"/>
        </w:trPr>
        <w:tc>
          <w:tcPr>
            <w:tcW w:w="4928" w:type="dxa"/>
          </w:tcPr>
          <w:p w14:paraId="1A1925BE" w14:textId="77777777" w:rsidR="00355532" w:rsidRDefault="00C902B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51C99CD3" w14:textId="77777777" w:rsidR="00355532" w:rsidRDefault="00C902B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3E922A56" w14:textId="77777777" w:rsidR="00355532" w:rsidRDefault="00355532">
            <w:pPr>
              <w:rPr>
                <w:b/>
                <w:sz w:val="22"/>
                <w:szCs w:val="22"/>
              </w:rPr>
            </w:pPr>
          </w:p>
          <w:p w14:paraId="086EFD5D" w14:textId="77777777" w:rsidR="00355532" w:rsidRDefault="00C9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24FA7D47" w14:textId="77777777" w:rsidR="00355532" w:rsidRDefault="00C9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38A4D1E1" w14:textId="77777777" w:rsidR="00355532" w:rsidRDefault="00C9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8650F20" w14:textId="77777777" w:rsidR="00090BDB" w:rsidRPr="00090BDB" w:rsidRDefault="00090BDB" w:rsidP="00090BDB">
            <w:pPr>
              <w:rPr>
                <w:sz w:val="22"/>
                <w:szCs w:val="22"/>
              </w:rPr>
            </w:pPr>
            <w:r w:rsidRPr="00090BDB">
              <w:rPr>
                <w:sz w:val="22"/>
                <w:szCs w:val="22"/>
              </w:rPr>
              <w:t>Адрес Южного филиала: 350020, г. Краснодар, ул. Красная д. 176/6 офис 3.103</w:t>
            </w:r>
          </w:p>
          <w:p w14:paraId="1B3E6955" w14:textId="77777777" w:rsidR="00090BDB" w:rsidRPr="00090BDB" w:rsidRDefault="00090BDB">
            <w:pPr>
              <w:rPr>
                <w:sz w:val="22"/>
                <w:szCs w:val="22"/>
              </w:rPr>
            </w:pPr>
          </w:p>
          <w:p w14:paraId="26146A59" w14:textId="25BE93F2" w:rsidR="00355532" w:rsidRDefault="00C902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7840A85A" w14:textId="77777777" w:rsidR="00355532" w:rsidRDefault="00C902B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63878499" w14:textId="77777777" w:rsidR="00355532" w:rsidRDefault="00C902B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60F6BDD1" w14:textId="77777777" w:rsidR="00355532" w:rsidRDefault="00C902B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74DCEBC4" w14:textId="77777777" w:rsidR="00355532" w:rsidRDefault="00C902B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5A4DAD2C" w14:textId="77777777" w:rsidR="00355532" w:rsidRDefault="00C902B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70F94B45" w14:textId="77777777" w:rsidR="00355532" w:rsidRDefault="00C902BB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26C9918D" w14:textId="77777777" w:rsidR="00355532" w:rsidRDefault="00355532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1DE18EE3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71336AEF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5C9A562C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7E8BFDC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71527A6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19EE524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77C98E1C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0A5DC814" w14:textId="77777777" w:rsidR="00355532" w:rsidRDefault="00C902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AD15D24" w14:textId="77777777" w:rsidR="00355532" w:rsidRDefault="00355532">
            <w:pPr>
              <w:jc w:val="both"/>
              <w:rPr>
                <w:sz w:val="22"/>
                <w:szCs w:val="22"/>
              </w:rPr>
            </w:pPr>
          </w:p>
        </w:tc>
      </w:tr>
    </w:tbl>
    <w:p w14:paraId="56C24E8E" w14:textId="77777777" w:rsidR="00355532" w:rsidRDefault="00C902BB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262234D" w14:textId="63112777" w:rsidR="00090BDB" w:rsidRPr="00090BDB" w:rsidRDefault="00090BDB">
      <w:pPr>
        <w:rPr>
          <w:b/>
          <w:bCs/>
          <w:sz w:val="22"/>
          <w:szCs w:val="22"/>
        </w:rPr>
      </w:pPr>
      <w:r w:rsidRPr="00090BDB">
        <w:rPr>
          <w:b/>
          <w:bCs/>
          <w:sz w:val="22"/>
          <w:szCs w:val="22"/>
        </w:rPr>
        <w:t>От Организатора торгов</w:t>
      </w:r>
    </w:p>
    <w:p w14:paraId="202E7FCA" w14:textId="77777777" w:rsidR="00090BDB" w:rsidRDefault="00090BDB">
      <w:pPr>
        <w:rPr>
          <w:sz w:val="22"/>
          <w:szCs w:val="22"/>
        </w:rPr>
      </w:pPr>
    </w:p>
    <w:p w14:paraId="774C77CC" w14:textId="453F169A" w:rsidR="00355532" w:rsidRDefault="00090BDB">
      <w:pPr>
        <w:rPr>
          <w:sz w:val="22"/>
          <w:szCs w:val="22"/>
        </w:rPr>
      </w:pPr>
      <w:r w:rsidRPr="00090BDB">
        <w:rPr>
          <w:sz w:val="22"/>
          <w:szCs w:val="22"/>
        </w:rPr>
        <w:t>_____________________/ Л.А. Суворова/</w:t>
      </w:r>
      <w:r w:rsidR="00C902BB" w:rsidRPr="00090BDB">
        <w:rPr>
          <w:sz w:val="22"/>
          <w:szCs w:val="22"/>
        </w:rPr>
        <w:tab/>
      </w:r>
      <w:r w:rsidR="00C902BB">
        <w:rPr>
          <w:sz w:val="22"/>
          <w:szCs w:val="22"/>
        </w:rPr>
        <w:t xml:space="preserve">                           _______________________/_________</w:t>
      </w:r>
    </w:p>
    <w:sectPr w:rsidR="00355532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CF109" w14:textId="77777777" w:rsidR="00355532" w:rsidRDefault="00C902BB">
      <w:r>
        <w:separator/>
      </w:r>
    </w:p>
  </w:endnote>
  <w:endnote w:type="continuationSeparator" w:id="0">
    <w:p w14:paraId="6521118D" w14:textId="77777777" w:rsidR="00355532" w:rsidRDefault="00C9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DBFC" w14:textId="77777777" w:rsidR="00355532" w:rsidRDefault="00C902BB">
      <w:r>
        <w:separator/>
      </w:r>
    </w:p>
  </w:footnote>
  <w:footnote w:type="continuationSeparator" w:id="0">
    <w:p w14:paraId="3559486C" w14:textId="77777777" w:rsidR="00355532" w:rsidRDefault="00C90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07D5"/>
    <w:multiLevelType w:val="multilevel"/>
    <w:tmpl w:val="AB242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626A4"/>
    <w:multiLevelType w:val="multilevel"/>
    <w:tmpl w:val="3C9CB46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616521B4"/>
    <w:multiLevelType w:val="multilevel"/>
    <w:tmpl w:val="37C855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3C7D85"/>
    <w:multiLevelType w:val="multilevel"/>
    <w:tmpl w:val="3D24EC86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2722590">
    <w:abstractNumId w:val="1"/>
  </w:num>
  <w:num w:numId="2" w16cid:durableId="392705988">
    <w:abstractNumId w:val="3"/>
  </w:num>
  <w:num w:numId="3" w16cid:durableId="797919102">
    <w:abstractNumId w:val="2"/>
  </w:num>
  <w:num w:numId="4" w16cid:durableId="141069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532"/>
    <w:rsid w:val="00090BDB"/>
    <w:rsid w:val="00355532"/>
    <w:rsid w:val="00AF5B27"/>
    <w:rsid w:val="00C9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AAD9"/>
  <w15:docId w15:val="{16C3BDC6-BADB-4998-9757-2ED3A2EE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ERmF9RjjuLe+2odvGpOWRVQDwwZthfQXKw2Uj4ZKwoo=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qmRNxS70HaFPjMmreY3Am/C/VaG0W0EndqHLRcFjdu0=</DigestValue>
    </Reference>
  </SignedInfo>
  <SignatureValue>fK4H0f0N/PEsc3b1wis5p0IR9Yn25Ikar+B8o6krSwbq2ILe5Gkswo4Oy8faLq9N
LDiuUVMTPynmtEa6T14tcw==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wWQH73/u31IDNQ1wZR6ugU82oBM=</DigestValue>
      </Reference>
      <Reference URI="/word/endnotes.xml?ContentType=application/vnd.openxmlformats-officedocument.wordprocessingml.endnotes+xml">
        <DigestMethod Algorithm="http://www.w3.org/2000/09/xmldsig#sha1"/>
        <DigestValue>nhYuhqYHcb32WNM8aIfpXafcvRM=</DigestValue>
      </Reference>
      <Reference URI="/word/fontTable.xml?ContentType=application/vnd.openxmlformats-officedocument.wordprocessingml.fontTable+xml">
        <DigestMethod Algorithm="http://www.w3.org/2000/09/xmldsig#sha1"/>
        <DigestValue>ytgaCnM1jKYyrOkX+AWOrobQdyU=</DigestValue>
      </Reference>
      <Reference URI="/word/footnotes.xml?ContentType=application/vnd.openxmlformats-officedocument.wordprocessingml.footnotes+xml">
        <DigestMethod Algorithm="http://www.w3.org/2000/09/xmldsig#sha1"/>
        <DigestValue>NhaaUEyExjIzqQ08ynq+mNdU/4w=</DigestValue>
      </Reference>
      <Reference URI="/word/numbering.xml?ContentType=application/vnd.openxmlformats-officedocument.wordprocessingml.numbering+xml">
        <DigestMethod Algorithm="http://www.w3.org/2000/09/xmldsig#sha1"/>
        <DigestValue>eaGVoFWIqmHTU55+bDGfhx08X8A=</DigestValue>
      </Reference>
      <Reference URI="/word/settings.xml?ContentType=application/vnd.openxmlformats-officedocument.wordprocessingml.settings+xml">
        <DigestMethod Algorithm="http://www.w3.org/2000/09/xmldsig#sha1"/>
        <DigestValue>iW3N47hwJ98zoKQeho7GavPsvSU=</DigestValue>
      </Reference>
      <Reference URI="/word/styles.xml?ContentType=application/vnd.openxmlformats-officedocument.wordprocessingml.styles+xml">
        <DigestMethod Algorithm="http://www.w3.org/2000/09/xmldsig#sha1"/>
        <DigestValue>pmT4q5P0EW3XEA1i5oyaTgD9/h0=</DigestValue>
      </Reference>
      <Reference URI="/word/theme/theme1.xml?ContentType=application/vnd.openxmlformats-officedocument.theme+xml">
        <DigestMethod Algorithm="http://www.w3.org/2000/09/xmldsig#sha1"/>
        <DigestValue>eUxbyRJNmb6CkwbWV/nxHvNUw7Q=</DigestValue>
      </Reference>
      <Reference URI="/word/webSettings.xml?ContentType=application/vnd.openxmlformats-officedocument.wordprocessingml.webSettings+xml">
        <DigestMethod Algorithm="http://www.w3.org/2000/09/xmldsig#sha1"/>
        <DigestValue>vm50qRFnjdtkFOPMgQXI4EFFDig=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2026-03-17T11:26:46Z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2026-03-17T11:26:46Z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/>
  <cp:lastModifiedBy>Суворова Любовь Андреевна</cp:lastModifiedBy>
  <cp:revision>31</cp:revision>
  <dcterms:created xsi:type="dcterms:W3CDTF">2024-04-02T10:41:00Z</dcterms:created>
  <dcterms:modified xsi:type="dcterms:W3CDTF">2026-03-17T11:26:00Z</dcterms:modified>
  <cp:version>1048576</cp:version>
</cp:coreProperties>
</file>