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64152E47" w:rsidR="001E23A4" w:rsidRPr="00F30D8B" w:rsidRDefault="001E23A4" w:rsidP="00C96D7F">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82E06">
        <w:rPr>
          <w:b/>
          <w:bCs/>
        </w:rPr>
        <w:t xml:space="preserve">части </w:t>
      </w:r>
      <w:r w:rsidR="008D5FC8" w:rsidRPr="008D5FC8">
        <w:rPr>
          <w:b/>
          <w:bCs/>
        </w:rPr>
        <w:t>нежило</w:t>
      </w:r>
      <w:r w:rsidR="008D5FC8">
        <w:rPr>
          <w:b/>
          <w:bCs/>
        </w:rPr>
        <w:t>го</w:t>
      </w:r>
      <w:r w:rsidR="008D5FC8" w:rsidRPr="008D5FC8">
        <w:rPr>
          <w:b/>
          <w:bCs/>
        </w:rPr>
        <w:t xml:space="preserve"> помещени</w:t>
      </w:r>
      <w:r w:rsidR="008D5FC8">
        <w:rPr>
          <w:b/>
          <w:bCs/>
        </w:rPr>
        <w:t>я</w:t>
      </w:r>
      <w:r w:rsidR="008D5FC8" w:rsidRPr="008D5FC8">
        <w:rPr>
          <w:b/>
          <w:bCs/>
        </w:rPr>
        <w:t>, расположенно</w:t>
      </w:r>
      <w:r w:rsidR="00641730">
        <w:rPr>
          <w:b/>
          <w:bCs/>
        </w:rPr>
        <w:t>го</w:t>
      </w:r>
      <w:r w:rsidR="008D5FC8" w:rsidRPr="008D5FC8">
        <w:rPr>
          <w:b/>
          <w:bCs/>
        </w:rPr>
        <w:t xml:space="preserve"> по адресу: </w:t>
      </w:r>
      <w:r w:rsidR="00C96D7F" w:rsidRPr="00C96D7F">
        <w:rPr>
          <w:b/>
          <w:bCs/>
        </w:rPr>
        <w:t xml:space="preserve">Иркутская область, Жигаловский район, </w:t>
      </w:r>
      <w:proofErr w:type="spellStart"/>
      <w:r w:rsidR="00C96D7F" w:rsidRPr="00C96D7F">
        <w:rPr>
          <w:b/>
          <w:bCs/>
        </w:rPr>
        <w:t>рп</w:t>
      </w:r>
      <w:proofErr w:type="spellEnd"/>
      <w:r w:rsidR="00C96D7F" w:rsidRPr="00C96D7F">
        <w:rPr>
          <w:b/>
          <w:bCs/>
        </w:rPr>
        <w:t xml:space="preserve"> Жигалово, </w:t>
      </w:r>
      <w:proofErr w:type="spellStart"/>
      <w:r w:rsidR="00C96D7F" w:rsidRPr="00C96D7F">
        <w:rPr>
          <w:b/>
          <w:bCs/>
        </w:rPr>
        <w:t>ул</w:t>
      </w:r>
      <w:proofErr w:type="spellEnd"/>
      <w:r w:rsidR="00C96D7F" w:rsidRPr="00C96D7F">
        <w:rPr>
          <w:b/>
          <w:bCs/>
        </w:rPr>
        <w:t xml:space="preserve"> Советская, д 46</w:t>
      </w:r>
      <w:r w:rsidRPr="00F30D8B">
        <w:rPr>
          <w:b/>
          <w:bCs/>
        </w:rPr>
        <w:t>принадлежащ</w:t>
      </w:r>
      <w:r w:rsidR="0060438B">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77485E0A" w:rsidR="00B81009" w:rsidRPr="00D01189" w:rsidRDefault="005F6A5F" w:rsidP="00362841">
      <w:pPr>
        <w:jc w:val="center"/>
        <w:outlineLvl w:val="0"/>
        <w:rPr>
          <w:bCs/>
        </w:rPr>
      </w:pPr>
      <w:r w:rsidRPr="005F6A5F">
        <w:rPr>
          <w:b/>
          <w:bCs/>
          <w:sz w:val="28"/>
          <w:szCs w:val="28"/>
        </w:rPr>
        <w:t>30</w:t>
      </w:r>
      <w:r>
        <w:rPr>
          <w:b/>
          <w:bCs/>
          <w:sz w:val="28"/>
          <w:szCs w:val="28"/>
        </w:rPr>
        <w:t>.</w:t>
      </w:r>
      <w:r w:rsidRPr="005F6A5F">
        <w:rPr>
          <w:b/>
          <w:bCs/>
          <w:sz w:val="28"/>
          <w:szCs w:val="28"/>
        </w:rPr>
        <w:t>03</w:t>
      </w:r>
      <w:r w:rsidR="00882E06">
        <w:rPr>
          <w:b/>
          <w:bCs/>
          <w:sz w:val="28"/>
          <w:szCs w:val="28"/>
        </w:rPr>
        <w:t>.2026</w:t>
      </w:r>
      <w:r w:rsidR="00362841" w:rsidRPr="0005653B">
        <w:rPr>
          <w:b/>
          <w:bCs/>
          <w:sz w:val="28"/>
          <w:szCs w:val="28"/>
        </w:rPr>
        <w:t xml:space="preserve"> года в </w:t>
      </w:r>
      <w:r w:rsidR="00C96D7F">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35CCB40B"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C96D7F">
        <w:rPr>
          <w:b/>
          <w:bCs/>
        </w:rPr>
        <w:t>27.0</w:t>
      </w:r>
      <w:r w:rsidR="005F6A5F">
        <w:rPr>
          <w:b/>
          <w:bCs/>
        </w:rPr>
        <w:t>2</w:t>
      </w:r>
      <w:r w:rsidR="00882E06">
        <w:rPr>
          <w:b/>
          <w:bCs/>
        </w:rPr>
        <w:t>.202</w:t>
      </w:r>
      <w:r w:rsidR="00C96D7F">
        <w:rPr>
          <w:b/>
          <w:bCs/>
        </w:rPr>
        <w:t>6</w:t>
      </w:r>
      <w:r w:rsidRPr="0005653B">
        <w:rPr>
          <w:b/>
          <w:bCs/>
        </w:rPr>
        <w:t xml:space="preserve"> г. по </w:t>
      </w:r>
      <w:r w:rsidR="005F44AB">
        <w:rPr>
          <w:b/>
          <w:bCs/>
        </w:rPr>
        <w:t>26</w:t>
      </w:r>
      <w:r w:rsidR="005F6A5F">
        <w:rPr>
          <w:b/>
          <w:bCs/>
        </w:rPr>
        <w:t>.03</w:t>
      </w:r>
      <w:r w:rsidR="00882E0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1ECD15FC" w:rsidR="00362841" w:rsidRPr="0005653B" w:rsidRDefault="00362841" w:rsidP="00362841">
      <w:pPr>
        <w:jc w:val="center"/>
        <w:outlineLvl w:val="0"/>
        <w:rPr>
          <w:bCs/>
        </w:rPr>
      </w:pPr>
      <w:r w:rsidRPr="0005653B">
        <w:rPr>
          <w:b/>
          <w:bCs/>
        </w:rPr>
        <w:t xml:space="preserve">не позднее </w:t>
      </w:r>
      <w:r w:rsidR="005F44AB">
        <w:rPr>
          <w:b/>
          <w:bCs/>
        </w:rPr>
        <w:t>26.03</w:t>
      </w:r>
      <w:r w:rsidR="00882E0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736E94A1" w:rsidR="00573FA0" w:rsidRDefault="00362841" w:rsidP="00EB2441">
      <w:pPr>
        <w:tabs>
          <w:tab w:val="left" w:pos="142"/>
        </w:tabs>
        <w:jc w:val="center"/>
        <w:outlineLvl w:val="0"/>
        <w:rPr>
          <w:bCs/>
        </w:rPr>
      </w:pPr>
      <w:r w:rsidRPr="0005653B">
        <w:rPr>
          <w:b/>
          <w:bCs/>
        </w:rPr>
        <w:t xml:space="preserve">Организатором торгов </w:t>
      </w:r>
      <w:r w:rsidR="005F44AB">
        <w:rPr>
          <w:b/>
          <w:bCs/>
        </w:rPr>
        <w:t>27.03</w:t>
      </w:r>
      <w:r w:rsidR="00882E06">
        <w:rPr>
          <w:b/>
          <w:bCs/>
        </w:rPr>
        <w:t>.2026</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58B75074" w14:textId="77777777" w:rsidR="001055B3" w:rsidRPr="001055B3" w:rsidRDefault="001055B3" w:rsidP="001055B3">
      <w:pPr>
        <w:pStyle w:val="a5"/>
        <w:widowControl w:val="0"/>
        <w:jc w:val="center"/>
        <w:rPr>
          <w:rFonts w:eastAsia="Times New Roman"/>
          <w:b/>
          <w:bCs/>
        </w:rPr>
      </w:pPr>
      <w:r w:rsidRPr="001055B3">
        <w:rPr>
          <w:rFonts w:eastAsia="Times New Roman"/>
          <w:b/>
          <w:bCs/>
        </w:rPr>
        <w:t>Телефоны для справок: +7 (967) 246-44-37,   irkutsk@auction-house.ru</w:t>
      </w:r>
    </w:p>
    <w:p w14:paraId="11382971" w14:textId="0B964A7C" w:rsidR="008E2AE8" w:rsidRDefault="001055B3" w:rsidP="001055B3">
      <w:pPr>
        <w:pStyle w:val="a5"/>
        <w:widowControl w:val="0"/>
        <w:ind w:left="0" w:right="0"/>
        <w:jc w:val="center"/>
        <w:rPr>
          <w:rFonts w:eastAsia="Times New Roman"/>
          <w:b/>
          <w:bCs/>
        </w:rPr>
      </w:pPr>
      <w:r w:rsidRPr="001055B3">
        <w:rPr>
          <w:rFonts w:eastAsia="Times New Roman"/>
          <w:b/>
          <w:bCs/>
        </w:rPr>
        <w:t>Телефоны Службы технической поддержки Lot-online.ru: 8-800-777-57-57, доб. 235, 231</w:t>
      </w:r>
    </w:p>
    <w:p w14:paraId="3BDE787E" w14:textId="77777777" w:rsidR="001055B3" w:rsidRDefault="001055B3" w:rsidP="001055B3">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0" w:name="_Hlk104197637"/>
      <w:r w:rsidRPr="00FA5F54">
        <w:t>-</w:t>
      </w:r>
      <w:r w:rsidR="0043102C" w:rsidRPr="00FA5F54">
        <w:t xml:space="preserve"> </w:t>
      </w:r>
      <w:r w:rsidR="00243769" w:rsidRPr="00243769">
        <w:rPr>
          <w:b/>
          <w:bCs/>
        </w:rPr>
        <w:t>недвижимое имущество</w:t>
      </w:r>
      <w:r w:rsidR="008A37AF">
        <w:t>:</w:t>
      </w:r>
    </w:p>
    <w:bookmarkEnd w:id="0"/>
    <w:p w14:paraId="5E99AC7A" w14:textId="4410014C" w:rsidR="00C96D7F" w:rsidRDefault="008A37AF" w:rsidP="00C96D7F">
      <w:pPr>
        <w:autoSpaceDE w:val="0"/>
        <w:autoSpaceDN w:val="0"/>
        <w:adjustRightInd w:val="0"/>
        <w:jc w:val="both"/>
      </w:pPr>
      <w:r>
        <w:rPr>
          <w:i/>
        </w:rPr>
        <w:t xml:space="preserve">- </w:t>
      </w:r>
      <w:r w:rsidR="00C96D7F" w:rsidRPr="00C96D7F">
        <w:t xml:space="preserve">Недвижимое имущество, часть нежилого помещения площадью 343,91 кв. м (с допустимым отклонением +/-10%), в нежилом помещении с кадастровым номером: 38:03:120106:1282 (далее Объект ), общей площадью 441,5 кв. м., расположенных на 1,2 этажах, подвал по адресу: Иркутская область, Жигаловский район, </w:t>
      </w:r>
      <w:proofErr w:type="spellStart"/>
      <w:r w:rsidR="00C96D7F" w:rsidRPr="00C96D7F">
        <w:t>р</w:t>
      </w:r>
      <w:r w:rsidR="00C96D7F">
        <w:t>.</w:t>
      </w:r>
      <w:r w:rsidR="00C96D7F" w:rsidRPr="00C96D7F">
        <w:t>п</w:t>
      </w:r>
      <w:proofErr w:type="spellEnd"/>
      <w:r w:rsidR="00C96D7F">
        <w:t>.</w:t>
      </w:r>
      <w:r w:rsidR="00C96D7F" w:rsidRPr="00C96D7F">
        <w:t xml:space="preserve"> Жигалово, ул Советская, д 46, принадлежащее Доверителю на праве собственности, что подтверждается записью регистрации в Едином государственном реестре недвижимости 38:03:120106:1282-38/115/2023-1 от 13.04.2023. </w:t>
      </w:r>
    </w:p>
    <w:p w14:paraId="2374182C" w14:textId="77777777" w:rsidR="00C96D7F" w:rsidRDefault="00C96D7F" w:rsidP="00C96D7F">
      <w:pPr>
        <w:autoSpaceDE w:val="0"/>
        <w:autoSpaceDN w:val="0"/>
        <w:adjustRightInd w:val="0"/>
        <w:jc w:val="both"/>
      </w:pPr>
    </w:p>
    <w:p w14:paraId="79FEECEC" w14:textId="487AA0B5" w:rsidR="008E25BC" w:rsidRDefault="00C96D7F" w:rsidP="00C96D7F">
      <w:pPr>
        <w:autoSpaceDE w:val="0"/>
        <w:autoSpaceDN w:val="0"/>
        <w:adjustRightInd w:val="0"/>
        <w:jc w:val="both"/>
        <w:rPr>
          <w:bCs/>
        </w:rPr>
      </w:pPr>
      <w:r w:rsidRPr="00C96D7F">
        <w:t>В настоящее время ведутся работы по выделению части помещения в самостоятельный объект недвижимости и внесению сведений в Единый государственный реестр недвижимости и сделок с ним</w:t>
      </w:r>
      <w:r w:rsidR="008E25BC" w:rsidRPr="00EC505E">
        <w:rPr>
          <w:bCs/>
        </w:rPr>
        <w:t>.</w:t>
      </w:r>
    </w:p>
    <w:p w14:paraId="4FCBC416" w14:textId="77777777" w:rsidR="008E25BC" w:rsidRDefault="008E25BC" w:rsidP="008E25BC">
      <w:pPr>
        <w:autoSpaceDE w:val="0"/>
        <w:autoSpaceDN w:val="0"/>
        <w:adjustRightInd w:val="0"/>
        <w:jc w:val="both"/>
        <w:rPr>
          <w:bCs/>
        </w:rPr>
      </w:pPr>
    </w:p>
    <w:p w14:paraId="6BD4390F" w14:textId="77777777" w:rsidR="008E25BC" w:rsidRDefault="008E25BC" w:rsidP="008E25BC">
      <w:pPr>
        <w:ind w:right="-57" w:firstLine="567"/>
        <w:jc w:val="both"/>
      </w:pPr>
      <w:r>
        <w:t xml:space="preserve">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  </w:t>
      </w:r>
    </w:p>
    <w:p w14:paraId="267B8619" w14:textId="77777777" w:rsidR="008E25BC" w:rsidRPr="00865F8D" w:rsidRDefault="008E25BC" w:rsidP="008E25BC">
      <w:pPr>
        <w:autoSpaceDE w:val="0"/>
        <w:autoSpaceDN w:val="0"/>
        <w:adjustRightInd w:val="0"/>
        <w:jc w:val="both"/>
        <w:rPr>
          <w:bCs/>
        </w:rPr>
      </w:pPr>
    </w:p>
    <w:p w14:paraId="1C653EE3" w14:textId="77777777" w:rsidR="001055B3" w:rsidRDefault="001055B3" w:rsidP="0005653B">
      <w:pPr>
        <w:ind w:firstLine="708"/>
        <w:jc w:val="center"/>
        <w:rPr>
          <w:b/>
          <w:bCs/>
        </w:rPr>
      </w:pPr>
    </w:p>
    <w:p w14:paraId="50A9ABFE" w14:textId="1455031D" w:rsidR="0005653B" w:rsidRPr="00FA5F54" w:rsidRDefault="0005653B" w:rsidP="0005653B">
      <w:pPr>
        <w:ind w:firstLine="708"/>
        <w:jc w:val="center"/>
        <w:rPr>
          <w:bCs/>
        </w:rPr>
      </w:pPr>
      <w:r w:rsidRPr="00FA5F54">
        <w:rPr>
          <w:b/>
          <w:bCs/>
        </w:rPr>
        <w:t xml:space="preserve">Время проведения аукциона с </w:t>
      </w:r>
      <w:r w:rsidR="008E25BC">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25BC">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2563BC23" w14:textId="1D343735" w:rsidR="00641730" w:rsidRDefault="00F60D37" w:rsidP="00C96D7F">
      <w:pPr>
        <w:ind w:firstLine="567"/>
        <w:jc w:val="both"/>
        <w:rPr>
          <w:bCs/>
        </w:rPr>
      </w:pPr>
      <w:r w:rsidRPr="00F60D37">
        <w:rPr>
          <w:bCs/>
        </w:rPr>
        <w:lastRenderedPageBreak/>
        <w:t>Начальная цена продажи Объектов устанавливается в размере</w:t>
      </w:r>
      <w:r w:rsidR="00C96D7F">
        <w:rPr>
          <w:bCs/>
        </w:rPr>
        <w:t xml:space="preserve"> </w:t>
      </w:r>
      <w:r w:rsidR="005F6A5F" w:rsidRPr="005F6A5F">
        <w:rPr>
          <w:bCs/>
        </w:rPr>
        <w:t>7 060 000,00 (Семь миллионов шестьдесят тысяч) рублей 00 копеек, в том НДС 22% в размере 1 273 114,75 (Один миллион двести семьдесят три тысячи сто четырнадцать) рублей 75 копеек</w:t>
      </w:r>
      <w:r w:rsidR="00641730">
        <w:rPr>
          <w:bCs/>
        </w:rPr>
        <w:t>.</w:t>
      </w:r>
    </w:p>
    <w:p w14:paraId="2C5E1C84" w14:textId="121F4F79" w:rsidR="0085005C" w:rsidRDefault="0085005C" w:rsidP="001673B3">
      <w:pPr>
        <w:pStyle w:val="ad"/>
        <w:ind w:left="0"/>
        <w:jc w:val="both"/>
        <w:rPr>
          <w:rFonts w:ascii="Times New Roman" w:hAnsi="Times New Roman"/>
          <w:b/>
          <w:bCs/>
          <w:sz w:val="24"/>
          <w:szCs w:val="24"/>
        </w:rPr>
      </w:pPr>
    </w:p>
    <w:p w14:paraId="42D968E4" w14:textId="0FAFD025" w:rsidR="001D366C" w:rsidRPr="00FA5F54" w:rsidRDefault="001E23A4" w:rsidP="00DA41EB">
      <w:pPr>
        <w:pStyle w:val="ad"/>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5F6A5F" w:rsidRPr="005F6A5F">
        <w:rPr>
          <w:rFonts w:ascii="Times New Roman" w:hAnsi="Times New Roman"/>
          <w:sz w:val="24"/>
          <w:szCs w:val="24"/>
          <w:lang w:eastAsia="ru-RU"/>
        </w:rPr>
        <w:t>706 000,00 (Семьсот шесть тысяч) рублей 00 копеек</w:t>
      </w:r>
      <w:r w:rsidR="00D41F54" w:rsidRPr="00FA5F54">
        <w:rPr>
          <w:rFonts w:ascii="Times New Roman" w:hAnsi="Times New Roman"/>
          <w:sz w:val="24"/>
          <w:szCs w:val="24"/>
        </w:rPr>
        <w:t>.</w:t>
      </w:r>
    </w:p>
    <w:p w14:paraId="35D00FB5" w14:textId="70D45892" w:rsidR="00BD4109" w:rsidRDefault="0036512E" w:rsidP="00F60D37">
      <w:pPr>
        <w:ind w:right="-57"/>
        <w:contextualSpacing/>
        <w:jc w:val="both"/>
      </w:pPr>
      <w:r w:rsidRPr="00FA5F54">
        <w:rPr>
          <w:b/>
        </w:rPr>
        <w:t>Шаг</w:t>
      </w:r>
      <w:r w:rsidR="007C5D38" w:rsidRPr="00FA5F54">
        <w:rPr>
          <w:b/>
        </w:rPr>
        <w:t xml:space="preserve"> на повышение</w:t>
      </w:r>
      <w:r w:rsidRPr="00FA5F54">
        <w:rPr>
          <w:b/>
        </w:rPr>
        <w:t xml:space="preserve">: </w:t>
      </w:r>
      <w:r w:rsidR="005F6A5F" w:rsidRPr="005F6A5F">
        <w:t>70 600,00 (Семьдесят тысяч шестьсот) рубля 00 копейки, 1 % от начальной цены продажи</w:t>
      </w:r>
      <w:r w:rsidR="00F60D37">
        <w:t>.</w:t>
      </w:r>
    </w:p>
    <w:p w14:paraId="2E30BB85" w14:textId="77777777" w:rsidR="005F6A5F" w:rsidRDefault="005F6A5F" w:rsidP="00F60D37">
      <w:pPr>
        <w:ind w:right="-57"/>
        <w:contextualSpacing/>
        <w:jc w:val="both"/>
      </w:pPr>
    </w:p>
    <w:p w14:paraId="31394B2E" w14:textId="77777777" w:rsidR="00F60D37" w:rsidRPr="00213D65" w:rsidRDefault="00F60D37" w:rsidP="00F60D37">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 включая сведения об ограничениях (обременениях</w:t>
      </w:r>
      <w:r w:rsidRPr="00372883">
        <w:rPr>
          <w:color w:val="000000"/>
        </w:rPr>
        <w:t>)</w:t>
      </w:r>
      <w:r>
        <w:rPr>
          <w:color w:val="000000"/>
        </w:rPr>
        <w:t xml:space="preserve"> и порядке проведения аукциона</w:t>
      </w:r>
      <w:r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Pr>
          <w:color w:val="000000"/>
        </w:rPr>
        <w:t>Иркутске</w:t>
      </w:r>
      <w:r w:rsidRPr="00213D65">
        <w:rPr>
          <w:color w:val="000000"/>
        </w:rPr>
        <w:t xml:space="preserve"> по адресу: 66</w:t>
      </w:r>
      <w:r>
        <w:rPr>
          <w:color w:val="000000"/>
        </w:rPr>
        <w:t>4025</w:t>
      </w:r>
      <w:r w:rsidRPr="00213D65">
        <w:rPr>
          <w:color w:val="000000"/>
        </w:rPr>
        <w:t xml:space="preserve">, г. </w:t>
      </w:r>
      <w:r>
        <w:rPr>
          <w:color w:val="000000"/>
        </w:rPr>
        <w:t>Иркутск</w:t>
      </w:r>
      <w:r w:rsidRPr="00213D65">
        <w:rPr>
          <w:color w:val="000000"/>
        </w:rPr>
        <w:t>, ул.</w:t>
      </w:r>
      <w:r>
        <w:rPr>
          <w:color w:val="000000"/>
        </w:rPr>
        <w:t xml:space="preserve"> Степана Разина</w:t>
      </w:r>
      <w:r w:rsidRPr="00213D65">
        <w:rPr>
          <w:color w:val="000000"/>
        </w:rPr>
        <w:t>, д.</w:t>
      </w:r>
      <w:r>
        <w:rPr>
          <w:color w:val="000000"/>
        </w:rPr>
        <w:t>27, оф. 33</w:t>
      </w:r>
      <w:r w:rsidRPr="00213D65">
        <w:rPr>
          <w:color w:val="000000"/>
        </w:rPr>
        <w:t xml:space="preserve">, тел. </w:t>
      </w:r>
      <w:r>
        <w:rPr>
          <w:color w:val="000000"/>
        </w:rPr>
        <w:t>8</w:t>
      </w:r>
      <w:r w:rsidRPr="006D593E">
        <w:rPr>
          <w:color w:val="000000"/>
        </w:rPr>
        <w:t xml:space="preserve"> (967) 246-44-37</w:t>
      </w:r>
      <w:r w:rsidRPr="00213D65">
        <w:rPr>
          <w:color w:val="000000"/>
        </w:rPr>
        <w:t xml:space="preserve">, </w:t>
      </w:r>
      <w:r>
        <w:rPr>
          <w:color w:val="000000"/>
        </w:rPr>
        <w:t>8(914) 917-00-46</w:t>
      </w:r>
      <w:r w:rsidRPr="00213D65">
        <w:rPr>
          <w:color w:val="000000"/>
        </w:rPr>
        <w:t xml:space="preserve">, </w:t>
      </w:r>
      <w:hyperlink r:id="rId9" w:history="1">
        <w:r w:rsidRPr="00E22CC8">
          <w:t xml:space="preserve"> </w:t>
        </w:r>
        <w:r w:rsidRPr="00E22CC8">
          <w:rPr>
            <w:rStyle w:val="af4"/>
          </w:rPr>
          <w:t>irkutsk@auction-house.ru</w:t>
        </w:r>
      </w:hyperlink>
      <w:r>
        <w:rPr>
          <w:color w:val="222222"/>
        </w:rPr>
        <w:t xml:space="preserve"> </w:t>
      </w:r>
      <w:r w:rsidRPr="00213D65">
        <w:rPr>
          <w:color w:val="000000"/>
          <w:shd w:val="clear" w:color="auto" w:fill="FFFFFF"/>
        </w:rPr>
        <w:t>в рабочие дни</w:t>
      </w:r>
      <w:r w:rsidRPr="00213D65">
        <w:rPr>
          <w:color w:val="000000"/>
        </w:rPr>
        <w:t xml:space="preserve"> с 09:00 до 1</w:t>
      </w:r>
      <w:r>
        <w:rPr>
          <w:color w:val="000000"/>
        </w:rPr>
        <w:t>8</w:t>
      </w:r>
      <w:r w:rsidRPr="00213D65">
        <w:rPr>
          <w:color w:val="000000"/>
        </w:rPr>
        <w:t xml:space="preserve">:00 часов (время местное – </w:t>
      </w:r>
      <w:r>
        <w:rPr>
          <w:color w:val="000000"/>
        </w:rPr>
        <w:t>Иркутск</w:t>
      </w:r>
      <w:r w:rsidRPr="00213D65">
        <w:rPr>
          <w:color w:val="000000"/>
        </w:rPr>
        <w:t xml:space="preserve">), не позднее дня окончания приема заявок на торги. </w:t>
      </w:r>
    </w:p>
    <w:p w14:paraId="5007E57A" w14:textId="72E0B2D3" w:rsidR="007322F9" w:rsidRPr="00213D65" w:rsidRDefault="007322F9" w:rsidP="00831A88">
      <w:pPr>
        <w:pStyle w:val="mcntmcntmsonormal"/>
        <w:shd w:val="clear" w:color="auto" w:fill="FFFFFF"/>
        <w:spacing w:before="24" w:beforeAutospacing="0" w:after="24" w:afterAutospacing="0"/>
        <w:jc w:val="both"/>
        <w:rPr>
          <w:b/>
        </w:rPr>
      </w:pPr>
      <w:r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xml:space="preserve">-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w:t>
      </w:r>
      <w:r w:rsidRPr="00FC3573">
        <w:lastRenderedPageBreak/>
        <w:t>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12170B3B" w14:textId="77777777" w:rsidR="004554CF" w:rsidRPr="00F30D8B" w:rsidRDefault="004554CF" w:rsidP="00D610A5">
      <w:pPr>
        <w:ind w:firstLine="567"/>
        <w:jc w:val="both"/>
      </w:pPr>
    </w:p>
    <w:p w14:paraId="0C357B97" w14:textId="77777777" w:rsidR="004554CF" w:rsidRDefault="004554CF" w:rsidP="004554CF">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AD2F564" w:rsidR="00D610A5" w:rsidRDefault="004554CF" w:rsidP="004554CF">
      <w:pPr>
        <w:pStyle w:val="a7"/>
        <w:spacing w:line="240" w:lineRule="auto"/>
        <w:ind w:right="-29" w:firstLine="567"/>
        <w:rPr>
          <w:rFonts w:ascii="Times New Roman" w:hAnsi="Times New Roman" w:cs="Times New Roman"/>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lastRenderedPageBreak/>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69F7E398" w14:textId="35F87EA8" w:rsidR="007C4A87" w:rsidRPr="004A17B6" w:rsidRDefault="00EB4173" w:rsidP="007C4A87">
      <w:pPr>
        <w:autoSpaceDE w:val="0"/>
        <w:autoSpaceDN w:val="0"/>
        <w:adjustRightInd w:val="0"/>
        <w:ind w:firstLine="709"/>
        <w:jc w:val="both"/>
        <w:rPr>
          <w:b/>
          <w:bCs/>
          <w:color w:val="000000"/>
        </w:rPr>
      </w:pPr>
      <w:r w:rsidRPr="004A17B6">
        <w:rPr>
          <w:b/>
          <w:bCs/>
          <w:color w:val="222222"/>
        </w:rPr>
        <w:t>Договор купли-продажи заключается между ПАО Сбербанк и Победителем аукциона (Покупателем)</w:t>
      </w:r>
      <w:r w:rsidR="007C4A87" w:rsidRPr="004A17B6">
        <w:rPr>
          <w:b/>
          <w:bCs/>
          <w:color w:val="222222"/>
        </w:rPr>
        <w:t xml:space="preserve"> </w:t>
      </w:r>
      <w:r w:rsidR="007C4A87" w:rsidRPr="004A17B6">
        <w:rPr>
          <w:b/>
          <w:bCs/>
        </w:rPr>
        <w:t xml:space="preserve">в течение </w:t>
      </w:r>
      <w:r w:rsidR="00E22CC8">
        <w:rPr>
          <w:b/>
          <w:bCs/>
        </w:rPr>
        <w:t>10</w:t>
      </w:r>
      <w:r w:rsidR="007C4A87" w:rsidRPr="004A17B6">
        <w:rPr>
          <w:b/>
          <w:bCs/>
        </w:rPr>
        <w:t xml:space="preserve"> (</w:t>
      </w:r>
      <w:r w:rsidR="00E22CC8">
        <w:rPr>
          <w:b/>
          <w:bCs/>
        </w:rPr>
        <w:t>десяти</w:t>
      </w:r>
      <w:r w:rsidR="007C4A87" w:rsidRPr="004A17B6">
        <w:rPr>
          <w:b/>
          <w:bCs/>
        </w:rPr>
        <w:t>) рабочих дней с даты подведения итогов аукциона.</w:t>
      </w:r>
      <w:r w:rsidR="003D309D" w:rsidRPr="003D309D">
        <w:t xml:space="preserve"> </w:t>
      </w:r>
    </w:p>
    <w:p w14:paraId="1BCF9CCA" w14:textId="0962A5F9" w:rsidR="00B80711" w:rsidRDefault="007C4A87" w:rsidP="007C4A87">
      <w:pPr>
        <w:tabs>
          <w:tab w:val="left" w:pos="1134"/>
        </w:tabs>
        <w:autoSpaceDE w:val="0"/>
        <w:autoSpaceDN w:val="0"/>
        <w:adjustRightInd w:val="0"/>
        <w:ind w:right="-1" w:firstLine="709"/>
        <w:jc w:val="both"/>
      </w:pPr>
      <w:r w:rsidRPr="004A17B6">
        <w:rPr>
          <w:b/>
          <w:bCs/>
          <w:color w:val="000000"/>
        </w:rPr>
        <w:t xml:space="preserve">В </w:t>
      </w:r>
      <w:r w:rsidR="00675E8F" w:rsidRPr="004A17B6">
        <w:rPr>
          <w:b/>
          <w:bCs/>
          <w:color w:val="000000"/>
        </w:rPr>
        <w:t xml:space="preserve">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E22CC8">
        <w:rPr>
          <w:b/>
          <w:bCs/>
        </w:rPr>
        <w:t>10</w:t>
      </w:r>
      <w:r w:rsidRPr="004A17B6">
        <w:rPr>
          <w:b/>
          <w:bCs/>
        </w:rPr>
        <w:t xml:space="preserve"> (</w:t>
      </w:r>
      <w:r w:rsidR="00E22CC8">
        <w:rPr>
          <w:b/>
          <w:bCs/>
        </w:rPr>
        <w:t>десяти</w:t>
      </w:r>
      <w:r w:rsidRPr="004A17B6">
        <w:rPr>
          <w:b/>
          <w:bCs/>
        </w:rPr>
        <w:t>) рабочих дней с даты признания аукциона несостоявшимися.</w:t>
      </w:r>
      <w:r w:rsidR="003D309D" w:rsidRPr="003D309D">
        <w:t xml:space="preserve"> </w:t>
      </w:r>
    </w:p>
    <w:p w14:paraId="32503E9D" w14:textId="26275946" w:rsidR="00C96D7F" w:rsidRPr="00C96D7F" w:rsidRDefault="00C96D7F" w:rsidP="007C4A87">
      <w:pPr>
        <w:tabs>
          <w:tab w:val="left" w:pos="1134"/>
        </w:tabs>
        <w:autoSpaceDE w:val="0"/>
        <w:autoSpaceDN w:val="0"/>
        <w:adjustRightInd w:val="0"/>
        <w:ind w:right="-1" w:firstLine="709"/>
        <w:jc w:val="both"/>
        <w:rPr>
          <w:b/>
          <w:bCs/>
          <w:color w:val="000000"/>
        </w:rPr>
      </w:pPr>
      <w:r w:rsidRPr="00C96D7F">
        <w:rPr>
          <w:b/>
          <w:bCs/>
          <w:color w:val="000000"/>
        </w:rPr>
        <w:t>В результате проведения кадастровых работ по разделению, площадь Объекта (площадь выбытия) может измениться на величину (+-) 10% при этом стоимость реализуемой части объекта не изменяется.</w:t>
      </w:r>
    </w:p>
    <w:p w14:paraId="2C627943" w14:textId="25026C60"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lastRenderedPageBreak/>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r w:rsidR="00C96D7F" w:rsidRPr="00C96D7F">
        <w:rPr>
          <w:rFonts w:ascii="Times New Roman" w:hAnsi="Times New Roman"/>
          <w:b/>
          <w:bCs/>
          <w:sz w:val="24"/>
          <w:szCs w:val="24"/>
        </w:rPr>
        <w:t xml:space="preserve">Допускается аккредитивная форма расчета. </w:t>
      </w:r>
    </w:p>
    <w:p w14:paraId="7089A07D" w14:textId="049D6398" w:rsidR="00FD4773" w:rsidRDefault="00EB4173" w:rsidP="004A17B6">
      <w:pPr>
        <w:autoSpaceDE w:val="0"/>
        <w:autoSpaceDN w:val="0"/>
        <w:adjustRightInd w:val="0"/>
        <w:ind w:firstLine="709"/>
        <w:jc w:val="both"/>
        <w:rPr>
          <w:b/>
          <w:bCs/>
        </w:rPr>
      </w:pPr>
      <w:r w:rsidRPr="0056057A">
        <w:rPr>
          <w:b/>
          <w:bCs/>
          <w:color w:val="000000"/>
        </w:rPr>
        <w:t>ПАО Сбербанк передает Объект Победителю</w:t>
      </w:r>
      <w:r w:rsidR="0095025D">
        <w:rPr>
          <w:b/>
          <w:bCs/>
          <w:color w:val="000000"/>
        </w:rPr>
        <w:t xml:space="preserve"> (</w:t>
      </w:r>
      <w:r w:rsidR="0095025D">
        <w:rPr>
          <w:b/>
        </w:rPr>
        <w:t>Единственному участнику аукциона)</w:t>
      </w:r>
      <w:r w:rsidRPr="0056057A">
        <w:rPr>
          <w:b/>
          <w:bCs/>
          <w:color w:val="000000"/>
        </w:rPr>
        <w:t xml:space="preserve"> </w:t>
      </w:r>
      <w:r w:rsidR="0056057A" w:rsidRPr="0056057A">
        <w:rPr>
          <w:b/>
          <w:bCs/>
          <w:color w:val="000000"/>
        </w:rPr>
        <w:t>по акту приема-передачи</w:t>
      </w:r>
      <w:r w:rsidR="0026159C">
        <w:rPr>
          <w:b/>
        </w:rPr>
        <w:t xml:space="preserve"> </w:t>
      </w:r>
      <w:r w:rsidR="003D309D" w:rsidRPr="003D309D">
        <w:rPr>
          <w:b/>
          <w:bCs/>
        </w:rPr>
        <w:t xml:space="preserve">после полного </w:t>
      </w:r>
      <w:r w:rsidR="00C96D7F" w:rsidRPr="00C96D7F">
        <w:rPr>
          <w:b/>
          <w:bCs/>
        </w:rPr>
        <w:t>проведения работ по обособлению</w:t>
      </w:r>
      <w:r w:rsidR="003D309D" w:rsidRPr="003D309D">
        <w:rPr>
          <w:b/>
          <w:bCs/>
        </w:rPr>
        <w:t xml:space="preserve">, </w:t>
      </w:r>
      <w:r w:rsidR="00641730" w:rsidRPr="00641730">
        <w:rPr>
          <w:b/>
          <w:bCs/>
        </w:rPr>
        <w:t xml:space="preserve">но не позднее </w:t>
      </w:r>
      <w:r w:rsidR="00C96D7F" w:rsidRPr="00C96D7F">
        <w:rPr>
          <w:b/>
          <w:bCs/>
        </w:rPr>
        <w:t>31 июля 2026г.</w:t>
      </w:r>
      <w:r w:rsidR="003D309D" w:rsidRPr="003D309D">
        <w:rPr>
          <w:b/>
          <w:bCs/>
        </w:rPr>
        <w:t xml:space="preserve">  </w:t>
      </w:r>
    </w:p>
    <w:p w14:paraId="401AC6EB" w14:textId="44D4901F" w:rsidR="004554CF" w:rsidRDefault="004554CF" w:rsidP="004A17B6">
      <w:pPr>
        <w:autoSpaceDE w:val="0"/>
        <w:autoSpaceDN w:val="0"/>
        <w:adjustRightInd w:val="0"/>
        <w:ind w:firstLine="709"/>
        <w:jc w:val="both"/>
        <w:rPr>
          <w:b/>
          <w:spacing w:val="26"/>
          <w:sz w:val="22"/>
          <w:szCs w:val="22"/>
        </w:rPr>
        <w:sectPr w:rsidR="004554CF" w:rsidSect="00893E25">
          <w:pgSz w:w="11906" w:h="16838"/>
          <w:pgMar w:top="709" w:right="851" w:bottom="568" w:left="1134" w:header="709" w:footer="709" w:gutter="0"/>
          <w:cols w:space="708"/>
          <w:docGrid w:linePitch="360"/>
        </w:sectPr>
      </w:pPr>
    </w:p>
    <w:p w14:paraId="6F361D3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5F0E" w14:textId="77777777" w:rsidR="0002713A" w:rsidRDefault="0002713A" w:rsidP="008C3E4E">
      <w:r>
        <w:separator/>
      </w:r>
    </w:p>
  </w:endnote>
  <w:endnote w:type="continuationSeparator" w:id="0">
    <w:p w14:paraId="69293D4E" w14:textId="77777777" w:rsidR="0002713A" w:rsidRDefault="0002713A"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DB100" w14:textId="77777777" w:rsidR="0002713A" w:rsidRDefault="0002713A" w:rsidP="008C3E4E">
      <w:r>
        <w:separator/>
      </w:r>
    </w:p>
  </w:footnote>
  <w:footnote w:type="continuationSeparator" w:id="0">
    <w:p w14:paraId="20F2BAB3" w14:textId="77777777" w:rsidR="0002713A" w:rsidRDefault="0002713A"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0656"/>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2713A"/>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4D35"/>
    <w:rsid w:val="000F68B0"/>
    <w:rsid w:val="000F7216"/>
    <w:rsid w:val="000F799F"/>
    <w:rsid w:val="00101729"/>
    <w:rsid w:val="00103D25"/>
    <w:rsid w:val="00104304"/>
    <w:rsid w:val="001055B3"/>
    <w:rsid w:val="001067B3"/>
    <w:rsid w:val="001074B4"/>
    <w:rsid w:val="00107EEC"/>
    <w:rsid w:val="00112548"/>
    <w:rsid w:val="0011297C"/>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2AC9"/>
    <w:rsid w:val="00136742"/>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09D"/>
    <w:rsid w:val="003D3C5A"/>
    <w:rsid w:val="003D587E"/>
    <w:rsid w:val="003D6B75"/>
    <w:rsid w:val="003E0285"/>
    <w:rsid w:val="003E0522"/>
    <w:rsid w:val="003E12E7"/>
    <w:rsid w:val="003E18A6"/>
    <w:rsid w:val="003E2221"/>
    <w:rsid w:val="003E2E45"/>
    <w:rsid w:val="003E3DB4"/>
    <w:rsid w:val="003E3EA2"/>
    <w:rsid w:val="003E4B21"/>
    <w:rsid w:val="003E5380"/>
    <w:rsid w:val="003E5847"/>
    <w:rsid w:val="003E64B7"/>
    <w:rsid w:val="003E7930"/>
    <w:rsid w:val="003E7FED"/>
    <w:rsid w:val="003F0336"/>
    <w:rsid w:val="003F21F5"/>
    <w:rsid w:val="003F35C2"/>
    <w:rsid w:val="003F44F5"/>
    <w:rsid w:val="003F4D28"/>
    <w:rsid w:val="003F5345"/>
    <w:rsid w:val="003F5559"/>
    <w:rsid w:val="003F57B5"/>
    <w:rsid w:val="003F627B"/>
    <w:rsid w:val="00400551"/>
    <w:rsid w:val="004007E6"/>
    <w:rsid w:val="00401506"/>
    <w:rsid w:val="004023A9"/>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5BA"/>
    <w:rsid w:val="00423C94"/>
    <w:rsid w:val="0042560D"/>
    <w:rsid w:val="0042584C"/>
    <w:rsid w:val="00426486"/>
    <w:rsid w:val="0042752F"/>
    <w:rsid w:val="00430E64"/>
    <w:rsid w:val="0043102C"/>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4CF"/>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C7C46"/>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4AB"/>
    <w:rsid w:val="005F45DD"/>
    <w:rsid w:val="005F4CBB"/>
    <w:rsid w:val="005F6526"/>
    <w:rsid w:val="005F6A1F"/>
    <w:rsid w:val="005F6A5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1730"/>
    <w:rsid w:val="006420DC"/>
    <w:rsid w:val="00643747"/>
    <w:rsid w:val="00643F33"/>
    <w:rsid w:val="00644DC0"/>
    <w:rsid w:val="00644F38"/>
    <w:rsid w:val="006458DF"/>
    <w:rsid w:val="00645F23"/>
    <w:rsid w:val="006461AD"/>
    <w:rsid w:val="006479D5"/>
    <w:rsid w:val="006524F6"/>
    <w:rsid w:val="00653BDA"/>
    <w:rsid w:val="00655CF9"/>
    <w:rsid w:val="006576FF"/>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3180"/>
    <w:rsid w:val="008433A7"/>
    <w:rsid w:val="00847CA4"/>
    <w:rsid w:val="00847D04"/>
    <w:rsid w:val="0085005C"/>
    <w:rsid w:val="008515E9"/>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2E06"/>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5B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668"/>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AC2"/>
    <w:rsid w:val="00A62C3E"/>
    <w:rsid w:val="00A6472F"/>
    <w:rsid w:val="00A65E3B"/>
    <w:rsid w:val="00A66574"/>
    <w:rsid w:val="00A66968"/>
    <w:rsid w:val="00A6782C"/>
    <w:rsid w:val="00A702CB"/>
    <w:rsid w:val="00A70B79"/>
    <w:rsid w:val="00A70BCA"/>
    <w:rsid w:val="00A72D58"/>
    <w:rsid w:val="00A7347B"/>
    <w:rsid w:val="00A73BB9"/>
    <w:rsid w:val="00A76648"/>
    <w:rsid w:val="00A768E9"/>
    <w:rsid w:val="00A83000"/>
    <w:rsid w:val="00A84667"/>
    <w:rsid w:val="00A86F41"/>
    <w:rsid w:val="00A913B7"/>
    <w:rsid w:val="00A93EF7"/>
    <w:rsid w:val="00A958AC"/>
    <w:rsid w:val="00A96061"/>
    <w:rsid w:val="00A979F6"/>
    <w:rsid w:val="00AA3216"/>
    <w:rsid w:val="00AA3529"/>
    <w:rsid w:val="00AA419E"/>
    <w:rsid w:val="00AA6113"/>
    <w:rsid w:val="00AA68FE"/>
    <w:rsid w:val="00AB01B9"/>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1A7"/>
    <w:rsid w:val="00B6032C"/>
    <w:rsid w:val="00B6153C"/>
    <w:rsid w:val="00B6156E"/>
    <w:rsid w:val="00B6475D"/>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6D7F"/>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3F1"/>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556"/>
    <w:rsid w:val="00E17813"/>
    <w:rsid w:val="00E20EED"/>
    <w:rsid w:val="00E22CC8"/>
    <w:rsid w:val="00E23266"/>
    <w:rsid w:val="00E233D5"/>
    <w:rsid w:val="00E23888"/>
    <w:rsid w:val="00E24306"/>
    <w:rsid w:val="00E2572D"/>
    <w:rsid w:val="00E33DB1"/>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57872"/>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305A"/>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2FB2"/>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0D37"/>
    <w:rsid w:val="00F61499"/>
    <w:rsid w:val="00F615FB"/>
    <w:rsid w:val="00F628C5"/>
    <w:rsid w:val="00F6293D"/>
    <w:rsid w:val="00F6454F"/>
    <w:rsid w:val="00F64A1F"/>
    <w:rsid w:val="00F653CB"/>
    <w:rsid w:val="00F658F6"/>
    <w:rsid w:val="00F66051"/>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573"/>
    <w:rsid w:val="00FC36FE"/>
    <w:rsid w:val="00FC4379"/>
    <w:rsid w:val="00FC56AA"/>
    <w:rsid w:val="00FC5A32"/>
    <w:rsid w:val="00FD0286"/>
    <w:rsid w:val="00FD168C"/>
    <w:rsid w:val="00FD33F9"/>
    <w:rsid w:val="00FD414D"/>
    <w:rsid w:val="00FD4331"/>
    <w:rsid w:val="00FD4773"/>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425660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4536</Words>
  <Characters>25859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30335</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2026-02-27T07:55:00Z</dcterms:created>
  <dcterms:modified xsi:type="dcterms:W3CDTF">2026-02-27T07:55:00Z</dcterms:modified>
</cp:coreProperties>
</file>