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1"/>
        <w:gridCol w:w="945"/>
        <w:gridCol w:w="946"/>
        <w:gridCol w:w="946"/>
        <w:gridCol w:w="1298"/>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w:t>
            </w:r>
            <w:r>
              <w:rPr>
                <w:rFonts w:ascii="Times New Roman" w:hAnsi="Times New Roman"/>
                <w:sz w:val="20"/>
                <w:szCs w:val="20"/>
              </w:rPr>
              <w:t xml:space="preserve"> течение десяти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widowControl w:val="false"/>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5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1030</Words>
  <Characters>7250</Characters>
  <CharactersWithSpaces>8234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2026-02-12T12:23:46Z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