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Грузовой фургон ФИАТ ДУКАТО.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Арлан Инвер Витальевич (дата рождения: 09.11.1976 г., место рождения: г. Москва, СНИЛС 077-398-158-19, ИНН 771609835322, регистрация по месту жительства: 129347, г. Москва, ул. Холмогорская, д. 2, к. 1, кв. 219)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Грузовой фургон ФИАТ ДУКАТО.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