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ind w:firstLine="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ДОГОВОР О ЗАДАТКЕ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7"/>
        <w:ind w:firstLine="426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7"/>
        <w:jc w:val="center"/>
      </w:pPr>
      <w:r>
        <w:rPr>
          <w:sz w:val="22"/>
          <w:szCs w:val="22"/>
        </w:rPr>
        <w:t xml:space="preserve">г. Ижевск</w:t>
        <w:tab/>
        <w:tab/>
        <w:tab/>
        <w:tab/>
        <w:tab/>
        <w:tab/>
        <w:tab/>
        <w:tab/>
        <w:t xml:space="preserve">«____» ______________ г.</w:t>
      </w:r>
      <w:r/>
    </w:p>
    <w:p>
      <w:pPr>
        <w:pStyle w:val="857"/>
        <w:ind w:firstLine="42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426"/>
        <w:jc w:val="both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Конкурсный управляющий </w:t>
      </w:r>
      <w:r>
        <w:rPr>
          <w:sz w:val="22"/>
          <w:szCs w:val="22"/>
        </w:rPr>
        <w:t xml:space="preserve">Общества</w:t>
      </w:r>
      <w:r>
        <w:rPr>
          <w:sz w:val="22"/>
          <w:szCs w:val="22"/>
        </w:rPr>
        <w:t xml:space="preserve"> с ограниченной ответственностью «Ангстрем Инвест»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Коновалов  Александр Ю</w:t>
      </w:r>
      <w:r>
        <w:rPr>
          <w:sz w:val="22"/>
          <w:szCs w:val="22"/>
        </w:rPr>
        <w:t xml:space="preserve">рьевич</w:t>
      </w:r>
      <w:r>
        <w:rPr>
          <w:sz w:val="22"/>
          <w:szCs w:val="22"/>
        </w:rPr>
        <w:t xml:space="preserve">, именуемый в дальнейшем «Организатор торгов», действующий на основании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пределения Арбитражного суда города </w:t>
      </w:r>
      <w:r>
        <w:rPr>
          <w:sz w:val="22"/>
          <w:szCs w:val="22"/>
        </w:rPr>
        <w:t xml:space="preserve">Москвы </w:t>
      </w:r>
      <w:r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29.08.2024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делу № А40-81667/2019</w:t>
      </w:r>
      <w:r>
        <w:rPr>
          <w:sz w:val="22"/>
          <w:szCs w:val="22"/>
        </w:rPr>
        <w:t xml:space="preserve">, с одной ст</w:t>
      </w:r>
      <w:r>
        <w:rPr>
          <w:sz w:val="22"/>
          <w:szCs w:val="22"/>
        </w:rPr>
        <w:t xml:space="preserve">ороны, и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ind w:firstLine="426"/>
        <w:jc w:val="both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_______________________________________________________,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именуемый в дальнейшем «Претендент», с другой стороны, заключили настоящий договор о нижеследующем: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839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договора.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numPr>
          <w:ilvl w:val="1"/>
          <w:numId w:val="2"/>
        </w:numPr>
        <w:ind w:left="0" w:firstLine="540"/>
        <w:jc w:val="both"/>
        <w:spacing w:before="0" w:after="120"/>
        <w:tabs>
          <w:tab w:val="clear" w:pos="708" w:leader="none"/>
          <w:tab w:val="clear" w:pos="792" w:leader="none"/>
          <w:tab w:val="left" w:pos="1080" w:leader="none"/>
        </w:tabs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Для участия в торгах по </w:t>
      </w:r>
      <w:r>
        <w:rPr>
          <w:sz w:val="22"/>
          <w:szCs w:val="22"/>
        </w:rPr>
        <w:t xml:space="preserve">продаже имущества должника претендент обязуется перечислить задаток по следую</w:t>
      </w:r>
      <w:r>
        <w:rPr>
          <w:sz w:val="22"/>
          <w:szCs w:val="22"/>
        </w:rPr>
        <w:t xml:space="preserve">щим реквизитам: </w:t>
      </w:r>
      <w:r>
        <w:rPr>
          <w:sz w:val="22"/>
          <w:szCs w:val="22"/>
        </w:rPr>
        <w:t xml:space="preserve">ООО «</w:t>
      </w:r>
      <w:r>
        <w:rPr>
          <w:sz w:val="22"/>
          <w:szCs w:val="22"/>
        </w:rPr>
        <w:t xml:space="preserve">Ангстрем Инвест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, ИНН </w:t>
      </w:r>
      <w:r>
        <w:rPr>
          <w:sz w:val="22"/>
          <w:szCs w:val="22"/>
        </w:rPr>
        <w:t xml:space="preserve">7709829954</w:t>
      </w:r>
      <w:r>
        <w:rPr>
          <w:sz w:val="22"/>
          <w:szCs w:val="22"/>
        </w:rPr>
        <w:t xml:space="preserve">, КПП </w:t>
      </w:r>
      <w:r>
        <w:rPr>
          <w:sz w:val="22"/>
          <w:szCs w:val="22"/>
        </w:rPr>
        <w:t xml:space="preserve">784001001</w:t>
      </w:r>
      <w:r>
        <w:rPr>
          <w:sz w:val="22"/>
          <w:szCs w:val="22"/>
        </w:rPr>
        <w:t xml:space="preserve">, р/с </w:t>
      </w:r>
      <w:r>
        <w:rPr>
          <w:sz w:val="22"/>
          <w:szCs w:val="22"/>
        </w:rPr>
        <w:t xml:space="preserve">40702810301300047386</w:t>
      </w:r>
      <w:r>
        <w:rPr>
          <w:sz w:val="22"/>
          <w:szCs w:val="22"/>
        </w:rPr>
        <w:t xml:space="preserve"> в </w:t>
      </w:r>
      <w:r>
        <w:rPr>
          <w:sz w:val="22"/>
          <w:szCs w:val="22"/>
          <w:lang w:eastAsia="ru-RU"/>
        </w:rPr>
        <w:t xml:space="preserve">АО «АЛЬФА-БАНК»</w:t>
      </w:r>
      <w:r>
        <w:rPr>
          <w:sz w:val="22"/>
          <w:szCs w:val="22"/>
        </w:rPr>
        <w:t xml:space="preserve">, к/с </w:t>
      </w:r>
      <w:r>
        <w:rPr>
          <w:sz w:val="22"/>
          <w:szCs w:val="22"/>
          <w:lang w:eastAsia="ru-RU"/>
        </w:rPr>
        <w:t xml:space="preserve">30101810200000000593</w:t>
      </w:r>
      <w:r>
        <w:rPr>
          <w:sz w:val="22"/>
          <w:szCs w:val="22"/>
        </w:rPr>
        <w:t xml:space="preserve">, БИК </w:t>
      </w:r>
      <w:r>
        <w:rPr>
          <w:sz w:val="22"/>
          <w:szCs w:val="22"/>
          <w:lang w:eastAsia="ru-RU"/>
        </w:rPr>
        <w:t xml:space="preserve">044525593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  <w14:ligatures w14:val="none"/>
        </w:rPr>
      </w:r>
    </w:p>
    <w:p>
      <w:pPr>
        <w:pStyle w:val="839"/>
        <w:ind w:left="540" w:firstLine="0"/>
        <w:jc w:val="both"/>
        <w:spacing w:before="0" w:after="120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платежа: «Задаток для участия в торгах </w:t>
      </w:r>
      <w:r>
        <w:rPr>
          <w:bCs/>
          <w:sz w:val="22"/>
          <w:szCs w:val="22"/>
        </w:rPr>
        <w:t xml:space="preserve">(указать идентификационный номер торгов)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по продаже имущества </w:t>
      </w:r>
      <w:r>
        <w:rPr>
          <w:bCs/>
          <w:sz w:val="22"/>
          <w:szCs w:val="22"/>
        </w:rPr>
        <w:t xml:space="preserve">(указать наименование или ФИО должника)</w:t>
      </w:r>
      <w:r>
        <w:rPr>
          <w:sz w:val="22"/>
          <w:szCs w:val="22"/>
        </w:rPr>
        <w:t xml:space="preserve"> за лот № (указать номер лота на ЭТП)»;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ind w:left="540" w:firstLine="0"/>
        <w:jc w:val="both"/>
        <w:spacing w:before="0" w:after="120"/>
      </w:pPr>
      <w:r>
        <w:rPr>
          <w:sz w:val="22"/>
          <w:szCs w:val="22"/>
        </w:rPr>
        <w:t xml:space="preserve">Размер задатка составляет 20% (Двадцать процентов) от начальной цены.</w:t>
      </w:r>
      <w:r/>
    </w:p>
    <w:p>
      <w:pPr>
        <w:pStyle w:val="839"/>
        <w:ind w:left="540" w:firstLine="0"/>
        <w:jc w:val="both"/>
        <w:spacing w:before="0" w:after="120"/>
        <w:rPr>
          <w:sz w:val="22"/>
          <w:szCs w:val="22"/>
        </w:rPr>
      </w:pPr>
      <w:r>
        <w:rPr>
          <w:sz w:val="22"/>
          <w:szCs w:val="22"/>
        </w:rPr>
        <w:t xml:space="preserve">При проведении торгов в форме публичного предложения размер задатка исчисляется от начальной цены на соответствующем периоде.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spacing w:before="0" w:after="120"/>
        <w:tabs>
          <w:tab w:val="clear" w:pos="708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 оплате задатка Претендент должен указать номер лота в соответствии с сообщением о торгах.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tabs>
          <w:tab w:val="clear" w:pos="708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Сумма задатка вносится в счет обеспечения обязательств Претендента, связанных с участием в торгах, в том числе по оплате приобретенного имущества, в случае признания Претендента победителем торгов.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tabs>
          <w:tab w:val="clear" w:pos="708" w:leader="none"/>
          <w:tab w:val="left" w:pos="1080" w:leader="none"/>
        </w:tabs>
      </w:pPr>
      <w:r>
        <w:rPr>
          <w:sz w:val="22"/>
          <w:szCs w:val="22"/>
        </w:rPr>
        <w:t xml:space="preserve">В случае признания Претендента Победителем торгов сумма задатка засчитывается в первую очередь в счет оплаты приобретенного на торгах имущества.</w:t>
      </w:r>
      <w:r/>
    </w:p>
    <w:p>
      <w:pPr>
        <w:numPr>
          <w:ilvl w:val="1"/>
          <w:numId w:val="2"/>
        </w:numPr>
        <w:ind w:left="0" w:firstLine="540"/>
        <w:jc w:val="both"/>
        <w:tabs>
          <w:tab w:val="clear" w:pos="708" w:leader="none"/>
          <w:tab w:val="clear" w:pos="792" w:leader="none"/>
          <w:tab w:val="left" w:pos="1080" w:leader="none"/>
        </w:tabs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Для участия в торгах Претендент обязуется подать заявку по форме электронного документа на сайте электронной торговой площадки (ЭТП) </w:t>
      </w:r>
      <w:r>
        <w:rPr>
          <w:sz w:val="22"/>
          <w:szCs w:val="22"/>
        </w:rPr>
        <w:t xml:space="preserve">АО «Российский аукционный дом»</w:t>
      </w:r>
      <w:r>
        <w:rPr>
          <w:sz w:val="22"/>
          <w:szCs w:val="22"/>
        </w:rPr>
        <w:t xml:space="preserve"> в соответствии с приказом Минэкономразвития России № 495 от 23.07.2015 г.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tabs>
          <w:tab w:val="clear" w:pos="708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Заключая договор о задатке и оплачивая задаток, претендент подтверждает, что ознакомлен с сообщением о торгах, с имуществом, реализуемом на торгах, порядок и условия участия в торгах ему известны и понятны.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ind w:left="540"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Передача задатка.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9"/>
        <w:numPr>
          <w:ilvl w:val="1"/>
          <w:numId w:val="1"/>
        </w:numPr>
        <w:ind w:left="0" w:firstLine="567"/>
        <w:jc w:val="both"/>
        <w:tabs>
          <w:tab w:val="clear" w:pos="708" w:leader="none"/>
          <w:tab w:val="left" w:pos="851" w:leader="none"/>
        </w:tabs>
      </w:pPr>
      <w:r>
        <w:rPr>
          <w:sz w:val="22"/>
          <w:szCs w:val="22"/>
        </w:rPr>
        <w:t xml:space="preserve">.Заявитель обязан обеспечить поступление задатка на счета, указанные в сообщении о проведении торгов, на дату составления протокола об определении участников торгов.</w:t>
      </w:r>
      <w:r/>
    </w:p>
    <w:p>
      <w:pPr>
        <w:pStyle w:val="839"/>
        <w:numPr>
          <w:ilvl w:val="1"/>
          <w:numId w:val="1"/>
        </w:numPr>
        <w:ind w:left="0" w:firstLine="567"/>
        <w:jc w:val="both"/>
        <w:tabs>
          <w:tab w:val="clear" w:pos="708" w:leader="none"/>
          <w:tab w:val="left" w:pos="851" w:leader="none"/>
        </w:tabs>
      </w:pPr>
      <w:r>
        <w:rPr>
          <w:sz w:val="22"/>
          <w:szCs w:val="22"/>
        </w:rPr>
        <w:t xml:space="preserve">.При участии в торгах посредством публичного предл</w:t>
      </w:r>
      <w:r>
        <w:rPr>
          <w:sz w:val="22"/>
          <w:szCs w:val="22"/>
        </w:rPr>
        <w:t xml:space="preserve">ожения Заявитель обязан обеспечить поступление задатка на счета, указанные в электронном сообщении о продаже, не позднее указанного в таком сообщении даты и времени окончания приема заявок на участие в торгах для соответствующего периода проведения торгов.</w:t>
      </w:r>
      <w:r/>
    </w:p>
    <w:p>
      <w:pPr>
        <w:pStyle w:val="839"/>
        <w:numPr>
          <w:ilvl w:val="1"/>
          <w:numId w:val="1"/>
        </w:numPr>
        <w:ind w:left="0" w:firstLine="567"/>
        <w:jc w:val="both"/>
        <w:tabs>
          <w:tab w:val="clear" w:pos="708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.На денежные средства, переданные в соответствии с настоящим договором, проценты не начисляются.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ind w:left="567" w:firstLine="0"/>
        <w:jc w:val="both"/>
        <w:tabs>
          <w:tab w:val="clear" w:pos="708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Возврат задатка.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tabs>
          <w:tab w:val="clear" w:pos="708" w:leader="none"/>
          <w:tab w:val="left" w:pos="1080" w:leader="none"/>
        </w:tabs>
      </w:pPr>
      <w:r>
        <w:rPr>
          <w:sz w:val="22"/>
          <w:szCs w:val="22"/>
        </w:rPr>
        <w:t xml:space="preserve">Задаток возвращается в течение пяти дней с момента подведения результатов торгов, указанного в сообщении о проведении торгов, в случае:</w:t>
      </w:r>
      <w:r/>
    </w:p>
    <w:p>
      <w:pPr>
        <w:pStyle w:val="839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отказа Претенденту в участии в Торгах;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непризнания Участника торгов Победителем торгов;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признания Торгов несостоявшимися;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отмены Торгов.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tabs>
          <w:tab w:val="clear" w:pos="708" w:leader="none"/>
          <w:tab w:val="left" w:pos="10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даток не возвращается 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договора, в случае неоплаты по договору купли-продажи.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ind w:left="540"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Иные условия.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вступает в силу с момента его подписания сторонами и прекращает действие надлежащим исполнением.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1"/>
          <w:numId w:val="2"/>
        </w:numPr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Споры, возникшие в результате действия настоящего договора, разрешаются в установленном порядке судом или арбитражным судом.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ind w:left="540"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Реквизиты сторон.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tbl>
      <w:tblPr>
        <w:tblW w:w="9557" w:type="dxa"/>
        <w:tblInd w:w="-32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4778"/>
        <w:gridCol w:w="4779"/>
      </w:tblGrid>
      <w:tr>
        <w:tblPrEx/>
        <w:trPr>
          <w:trHeight w:val="264"/>
        </w:trPr>
        <w:tc>
          <w:tcPr>
            <w:shd w:val="clear" w:color="auto" w:fill="c0c0c0"/>
            <w:tcBorders>
              <w:top w:val="single" w:color="000000" w:sz="1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W w:w="4778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Организатор торгов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c0c0c0"/>
            <w:tcBorders>
              <w:top w:val="single" w:color="000000" w:sz="12" w:space="0"/>
              <w:bottom w:val="single" w:color="000000" w:sz="12" w:space="0"/>
              <w:right w:val="single" w:color="000000" w:sz="2" w:space="0"/>
            </w:tcBorders>
            <w:tcW w:w="4779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Претендент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2120"/>
        </w:trPr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778" w:type="dxa"/>
            <w:textDirection w:val="lrTb"/>
            <w:noWrap w:val="false"/>
          </w:tcPr>
          <w:p>
            <w:pPr>
              <w:pStyle w:val="857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ООО «Ангстрем Инвест»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pStyle w:val="8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57"/>
              <w:jc w:val="left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Адрес:</w:t>
            </w:r>
            <w:r>
              <w:rPr>
                <w:color w:val="000000"/>
                <w:sz w:val="22"/>
                <w:szCs w:val="22"/>
              </w:rPr>
              <w:t xml:space="preserve"> 191119, г. Санкт-Петербург, Социалистическая ул., д. 14 литера А, помещ. 28-н, ком. 6, офис 712</w:t>
            </w: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857"/>
              <w:jc w:val="left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ИНН </w:t>
            </w:r>
            <w:r>
              <w:rPr>
                <w:color w:val="000000"/>
                <w:sz w:val="22"/>
                <w:szCs w:val="22"/>
              </w:rPr>
              <w:t xml:space="preserve">7709829954</w:t>
            </w:r>
            <w:r>
              <w:rPr>
                <w:color w:val="000000"/>
                <w:sz w:val="22"/>
                <w:szCs w:val="22"/>
              </w:rPr>
              <w:t xml:space="preserve">, КПП </w:t>
            </w:r>
            <w:r>
              <w:rPr>
                <w:color w:val="000000"/>
                <w:sz w:val="22"/>
                <w:szCs w:val="22"/>
              </w:rPr>
              <w:t xml:space="preserve">784001001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8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р/с </w:t>
            </w:r>
            <w:r>
              <w:rPr>
                <w:color w:val="000000"/>
                <w:sz w:val="22"/>
                <w:szCs w:val="22"/>
              </w:rPr>
              <w:t xml:space="preserve">40702810301300047386</w:t>
            </w:r>
            <w:r>
              <w:rPr>
                <w:color w:val="000000"/>
                <w:sz w:val="22"/>
                <w:szCs w:val="22"/>
              </w:rPr>
              <w:t xml:space="preserve"> в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АО «АЛЬФА-БАНК»</w:t>
            </w:r>
            <w:r>
              <w:rPr>
                <w:color w:val="000000"/>
                <w:sz w:val="22"/>
                <w:szCs w:val="22"/>
              </w:rPr>
              <w:t xml:space="preserve">, к/с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30101810200000000593</w:t>
            </w:r>
            <w:r>
              <w:rPr>
                <w:color w:val="000000"/>
                <w:sz w:val="22"/>
                <w:szCs w:val="22"/>
              </w:rPr>
              <w:t xml:space="preserve">, БИК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044525593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____________________/Коновалов А.Ю./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4779" w:type="dxa"/>
            <w:textDirection w:val="lrTb"/>
            <w:noWrap w:val="false"/>
          </w:tcPr>
          <w:p>
            <w:pPr>
              <w:pStyle w:val="8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857"/>
        <w:ind w:left="360"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567" w:right="567" w:bottom="567" w:left="90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Calibri">
    <w:panose1 w:val="020F0502020204030204"/>
  </w:font>
  <w:font w:name="Wingdings">
    <w:panose1 w:val="05010000000000000000"/>
  </w:font>
  <w:font w:name="Myriad Pro;Arial"/>
  <w:font w:name="Courier New">
    <w:panose1 w:val="02070409020205020404"/>
  </w:font>
  <w:font w:name="Symbol">
    <w:panose1 w:val="05010000000000000000"/>
  </w:font>
  <w:font w:name="Arial">
    <w:panose1 w:val="020B0604020202020204"/>
  </w:font>
  <w:font w:name="DejaVu Sans">
    <w:panose1 w:val="020B0603030804020204"/>
  </w:font>
  <w:font w:name="Arial Narrow">
    <w:panose1 w:val="020B0606020202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9"/>
    <w:next w:val="839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9"/>
    <w:next w:val="839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9"/>
    <w:next w:val="839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39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39"/>
    <w:next w:val="839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39"/>
    <w:next w:val="839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39"/>
    <w:next w:val="839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9"/>
    <w:next w:val="839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link w:val="870"/>
    <w:uiPriority w:val="99"/>
  </w:style>
  <w:style w:type="paragraph" w:styleId="693">
    <w:name w:val="Footer"/>
    <w:basedOn w:val="839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character" w:styleId="695">
    <w:name w:val="Caption Char"/>
    <w:basedOn w:val="859"/>
    <w:link w:val="693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840">
    <w:name w:val="WW8Num1z0"/>
    <w:qFormat/>
  </w:style>
  <w:style w:type="character" w:styleId="841">
    <w:name w:val="WW8Num2z0"/>
    <w:qFormat/>
  </w:style>
  <w:style w:type="character" w:styleId="842">
    <w:name w:val="WW8Num3z0"/>
    <w:qFormat/>
  </w:style>
  <w:style w:type="character" w:styleId="843">
    <w:name w:val="WW8Num6z0"/>
    <w:qFormat/>
    <w:rPr>
      <w:rFonts w:ascii="Symbol" w:hAnsi="Symbol" w:cs="Symbol"/>
    </w:rPr>
  </w:style>
  <w:style w:type="character" w:styleId="844">
    <w:name w:val="WW8Num6z1"/>
    <w:qFormat/>
    <w:rPr>
      <w:rFonts w:ascii="Courier New" w:hAnsi="Courier New" w:cs="Courier New"/>
    </w:rPr>
  </w:style>
  <w:style w:type="character" w:styleId="845">
    <w:name w:val="WW8Num6z2"/>
    <w:qFormat/>
    <w:rPr>
      <w:rFonts w:ascii="Wingdings" w:hAnsi="Wingdings" w:cs="Wingdings"/>
    </w:rPr>
  </w:style>
  <w:style w:type="character" w:styleId="846">
    <w:name w:val="WW8Num7z0"/>
    <w:qFormat/>
  </w:style>
  <w:style w:type="character" w:styleId="847">
    <w:name w:val="WW8Num7z1"/>
    <w:qFormat/>
    <w:rPr>
      <w:color w:val="000000"/>
    </w:rPr>
  </w:style>
  <w:style w:type="character" w:styleId="848">
    <w:name w:val="WW8Num8z0"/>
    <w:qFormat/>
  </w:style>
  <w:style w:type="character" w:styleId="849">
    <w:name w:val="WW8Num9z0"/>
    <w:qFormat/>
  </w:style>
  <w:style w:type="character" w:styleId="850">
    <w:name w:val="Основной шрифт абзаца"/>
    <w:qFormat/>
  </w:style>
  <w:style w:type="character" w:styleId="851">
    <w:name w:val="Знак примечания"/>
    <w:qFormat/>
    <w:rPr>
      <w:sz w:val="16"/>
      <w:szCs w:val="16"/>
    </w:rPr>
  </w:style>
  <w:style w:type="character" w:styleId="852">
    <w:name w:val="paragraph"/>
    <w:basedOn w:val="850"/>
    <w:qFormat/>
  </w:style>
  <w:style w:type="character" w:styleId="853">
    <w:name w:val="Верхний колонтитул Знак"/>
    <w:qFormat/>
    <w:rPr>
      <w:lang w:val="ru-RU" w:bidi="ar-SA"/>
    </w:rPr>
  </w:style>
  <w:style w:type="character" w:styleId="854">
    <w:name w:val="Hyperlink"/>
    <w:basedOn w:val="850"/>
    <w:rPr>
      <w:color w:val="0000ff"/>
      <w:u w:val="single"/>
    </w:rPr>
  </w:style>
  <w:style w:type="character" w:styleId="855">
    <w:name w:val="avg-Обычный Знак"/>
    <w:qFormat/>
    <w:rPr>
      <w:rFonts w:ascii="Myriad Pro;Arial" w:hAnsi="Myriad Pro;Arial" w:eastAsia="Calibri" w:cs="Myriad Pro;Arial"/>
      <w:sz w:val="22"/>
      <w:szCs w:val="22"/>
      <w:lang w:val="en-US"/>
    </w:rPr>
  </w:style>
  <w:style w:type="paragraph" w:styleId="856">
    <w:name w:val="Heading"/>
    <w:basedOn w:val="839"/>
    <w:next w:val="857"/>
    <w:qFormat/>
    <w:pPr>
      <w:jc w:val="center"/>
    </w:pPr>
    <w:rPr>
      <w:b/>
      <w:bCs/>
      <w:sz w:val="24"/>
      <w:szCs w:val="24"/>
    </w:rPr>
  </w:style>
  <w:style w:type="paragraph" w:styleId="857">
    <w:name w:val="Body Text"/>
    <w:basedOn w:val="839"/>
    <w:pPr>
      <w:jc w:val="both"/>
    </w:pPr>
    <w:rPr>
      <w:sz w:val="24"/>
    </w:rPr>
  </w:style>
  <w:style w:type="paragraph" w:styleId="858">
    <w:name w:val="List"/>
    <w:basedOn w:val="857"/>
  </w:style>
  <w:style w:type="paragraph" w:styleId="859">
    <w:name w:val="Caption"/>
    <w:basedOn w:val="839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60">
    <w:name w:val="Index"/>
    <w:basedOn w:val="839"/>
    <w:qFormat/>
    <w:pPr>
      <w:suppressLineNumbers/>
    </w:pPr>
  </w:style>
  <w:style w:type="paragraph" w:styleId="861">
    <w:name w:val="Body Text Indent"/>
    <w:basedOn w:val="839"/>
    <w:pPr>
      <w:ind w:firstLine="567"/>
    </w:pPr>
    <w:rPr>
      <w:sz w:val="28"/>
    </w:rPr>
  </w:style>
  <w:style w:type="paragraph" w:styleId="862">
    <w:name w:val="LO-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63">
    <w:name w:val="Текст примечания"/>
    <w:basedOn w:val="839"/>
    <w:qFormat/>
  </w:style>
  <w:style w:type="paragraph" w:styleId="864">
    <w:name w:val="Тема примечания"/>
    <w:basedOn w:val="863"/>
    <w:next w:val="863"/>
    <w:qFormat/>
    <w:rPr>
      <w:b/>
      <w:bCs/>
    </w:rPr>
  </w:style>
  <w:style w:type="paragraph" w:styleId="865">
    <w:name w:val="Текст выноски"/>
    <w:basedOn w:val="839"/>
    <w:qFormat/>
    <w:rPr>
      <w:rFonts w:ascii="Tahoma" w:hAnsi="Tahoma" w:cs="Tahoma"/>
      <w:sz w:val="16"/>
      <w:szCs w:val="16"/>
    </w:rPr>
  </w:style>
  <w:style w:type="paragraph" w:styleId="866">
    <w:name w:val="Текст"/>
    <w:basedOn w:val="839"/>
    <w:qFormat/>
    <w:rPr>
      <w:rFonts w:ascii="Courier New" w:hAnsi="Courier New" w:cs="Courier New"/>
    </w:rPr>
  </w:style>
  <w:style w:type="paragraph" w:styleId="867">
    <w:name w:val="LO-normal"/>
    <w:basedOn w:val="839"/>
    <w:qFormat/>
    <w:pPr>
      <w:spacing w:before="280" w:after="280"/>
    </w:pPr>
    <w:rPr>
      <w:sz w:val="24"/>
      <w:szCs w:val="24"/>
    </w:rPr>
  </w:style>
  <w:style w:type="paragraph" w:styleId="868">
    <w:name w:val="Обычный (веб)"/>
    <w:basedOn w:val="839"/>
    <w:qFormat/>
    <w:pPr>
      <w:spacing w:before="280" w:after="280"/>
    </w:pPr>
    <w:rPr>
      <w:sz w:val="24"/>
      <w:szCs w:val="24"/>
    </w:rPr>
  </w:style>
  <w:style w:type="paragraph" w:styleId="869">
    <w:name w:val="Header and Footer"/>
    <w:basedOn w:val="839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70">
    <w:name w:val="Header"/>
    <w:basedOn w:val="839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1">
    <w:name w:val="ConsNormal"/>
    <w:qFormat/>
    <w:pPr>
      <w:ind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72">
    <w:name w:val="avg-Обычный"/>
    <w:basedOn w:val="839"/>
    <w:qFormat/>
    <w:pPr>
      <w:jc w:val="both"/>
      <w:spacing w:before="60" w:after="60" w:line="216" w:lineRule="auto"/>
    </w:pPr>
    <w:rPr>
      <w:rFonts w:ascii="Myriad Pro;Arial" w:hAnsi="Myriad Pro;Arial" w:eastAsia="Calibri" w:cs="Myriad Pro;Arial"/>
      <w:sz w:val="22"/>
      <w:szCs w:val="22"/>
      <w:lang w:val="en-US"/>
    </w:rPr>
  </w:style>
  <w:style w:type="paragraph" w:styleId="873">
    <w:name w:val="avg-Название таблицы"/>
    <w:basedOn w:val="872"/>
    <w:next w:val="872"/>
    <w:qFormat/>
    <w:pPr>
      <w:jc w:val="left"/>
      <w:keepNext/>
      <w:spacing w:before="240" w:after="60"/>
    </w:pPr>
    <w:rPr>
      <w:rFonts w:ascii="Arial Narrow" w:hAnsi="Arial Narrow" w:cs="Arial Narrow"/>
      <w:b/>
      <w:bCs/>
      <w:sz w:val="20"/>
      <w:szCs w:val="20"/>
      <w:lang w:val="ru-RU"/>
    </w:rPr>
  </w:style>
  <w:style w:type="paragraph" w:styleId="874">
    <w:name w:val="Абзац списка"/>
    <w:basedOn w:val="839"/>
    <w:qFormat/>
    <w:pPr>
      <w:contextualSpacing/>
      <w:ind w:left="720" w:firstLine="0"/>
      <w:spacing w:before="0" w:after="0"/>
    </w:pPr>
  </w:style>
  <w:style w:type="paragraph" w:styleId="875">
    <w:name w:val="Table Contents"/>
    <w:basedOn w:val="839"/>
    <w:qFormat/>
    <w:pPr>
      <w:widowControl w:val="off"/>
      <w:suppressLineNumbers/>
    </w:pPr>
  </w:style>
  <w:style w:type="paragraph" w:styleId="876">
    <w:name w:val="Table Heading"/>
    <w:basedOn w:val="875"/>
    <w:qFormat/>
    <w:pPr>
      <w:jc w:val="center"/>
      <w:suppressLineNumbers/>
    </w:pPr>
    <w:rPr>
      <w:b/>
      <w:bCs/>
    </w:rPr>
  </w:style>
  <w:style w:type="numbering" w:styleId="877">
    <w:name w:val="WW8Num1"/>
    <w:qFormat/>
  </w:style>
  <w:style w:type="numbering" w:styleId="878">
    <w:name w:val="WW8Num2"/>
    <w:qFormat/>
  </w:style>
  <w:style w:type="numbering" w:styleId="879">
    <w:name w:val="WW8Num3"/>
    <w:qFormat/>
  </w:style>
  <w:style w:type="numbering" w:styleId="880">
    <w:name w:val="WW8Num4"/>
    <w:qFormat/>
  </w:style>
  <w:style w:type="numbering" w:styleId="881">
    <w:name w:val="WW8Num5"/>
    <w:qFormat/>
  </w:style>
  <w:style w:type="numbering" w:styleId="882">
    <w:name w:val="WW8Num6"/>
    <w:qFormat/>
  </w:style>
  <w:style w:type="numbering" w:styleId="883">
    <w:name w:val="WW8Num7"/>
    <w:qFormat/>
  </w:style>
  <w:style w:type="numbering" w:styleId="884">
    <w:name w:val="WW8Num8"/>
    <w:qFormat/>
  </w:style>
  <w:style w:type="numbering" w:styleId="885">
    <w:name w:val="WW8Num9"/>
    <w:qFormat/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</dc:title>
  <dc:subject/>
  <dc:creator>ara</dc:creator>
  <cp:keywords/>
  <dc:description/>
  <dc:language>en-US</dc:language>
  <cp:lastModifiedBy>Мария Гузарь</cp:lastModifiedBy>
  <cp:revision>134</cp:revision>
  <dcterms:created xsi:type="dcterms:W3CDTF">2011-05-16T10:26:00Z</dcterms:created>
  <dcterms:modified xsi:type="dcterms:W3CDTF">2025-01-09T13:18:45Z</dcterms:modified>
</cp:coreProperties>
</file>