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rStyle w:val="Style7"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 w:val="false"/>
          <w:sz w:val="24"/>
          <w:u w:val="none"/>
        </w:rPr>
        <w:t>Конусная дробилка модель PYZ900</w:t>
      </w:r>
      <w:r>
        <w:rPr>
          <w:b w:val="false"/>
          <w:bCs w:val="false"/>
          <w:sz w:val="24"/>
          <w:u w:val="none"/>
        </w:rPr>
        <w:t xml:space="preserve">.  </w:t>
      </w:r>
      <w:r>
        <w:rPr>
          <w:sz w:val="24"/>
        </w:rPr>
        <w:t xml:space="preserve"> 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п.Усть-Среднекан.</w:t>
      </w:r>
    </w:p>
    <w:p>
      <w:pPr>
        <w:pStyle w:val="Normal"/>
        <w:ind w:firstLine="54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Краткое описание Предмета продажи: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  <w:u w:val="none"/>
        </w:rPr>
        <w:t>К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онусная дробилка модель PYZ900, 2019 года выпуска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/>
        <w:t>3 208 473</w:t>
      </w:r>
      <w:r>
        <w:rPr>
          <w:i w:val="false"/>
          <w:iCs w:val="false"/>
        </w:rPr>
        <w:t xml:space="preserve"> (три миллиона двести восемь тысяч четыреста семьдесят три) рубл</w:t>
      </w:r>
      <w:r>
        <w:rPr>
          <w:i w:val="false"/>
          <w:iCs w:val="false"/>
        </w:rPr>
        <w:t>я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12</w:t>
      </w:r>
      <w:r>
        <w:rPr>
          <w:i w:val="false"/>
          <w:iCs w:val="false"/>
        </w:rPr>
        <w:t xml:space="preserve">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>
        <w:rPr>
          <w:sz w:val="24"/>
          <w:szCs w:val="24"/>
        </w:rPr>
        <w:t>32 084</w:t>
      </w:r>
      <w:r>
        <w:rPr>
          <w:sz w:val="24"/>
          <w:szCs w:val="24"/>
        </w:rPr>
        <w:t xml:space="preserve"> (тридцать две тысячи восемьдесят четыре) рубл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>йки</w:t>
      </w:r>
      <w:r>
        <w:rPr>
          <w:sz w:val="24"/>
          <w:szCs w:val="24"/>
        </w:rPr>
        <w:t xml:space="preserve">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96 254</w:t>
      </w:r>
      <w:r>
        <w:rPr>
          <w:sz w:val="24"/>
          <w:szCs w:val="24"/>
        </w:rPr>
        <w:t xml:space="preserve"> (девяносто шесть тысяч двести пятьдесят четыре) рубл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9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>: «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» февраля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06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07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2026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/>
    <w:rPr/>
  </w:style>
  <w:style w:type="paragraph" w:styleId="Style14" w:customStyle="1">
    <w:name w:val="Подподпункт"/>
    <w:basedOn w:val="Style13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Application>AlterOffice/2025.3.1.0$Linux_X86_64 LibreOffice_project/431cd1b79110582f53535c95ed0a2449aadc8bf9</Application>
  <AppVersion>15.0000</AppVersion>
  <Pages>2</Pages>
  <Words>483</Words>
  <Characters>3224</Characters>
  <CharactersWithSpaces>3691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kotova_ea</cp:lastModifiedBy>
  <dcterms:modified xsi:type="dcterms:W3CDTF">2026-02-18T14:20:07Z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