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2"/>
        <w:gridCol w:w="945"/>
        <w:gridCol w:w="946"/>
        <w:gridCol w:w="946"/>
        <w:gridCol w:w="1297"/>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1.2. На момент составления Договора купли-продажи на вышеуказанном имуществе обременения/ограничения отсутствуют / </w:t>
            </w:r>
            <w:r>
              <w:rPr>
                <w:rFonts w:ascii="Times New Roman" w:hAnsi="Times New Roman"/>
                <w:kern w:val="0"/>
                <w:sz w:val="20"/>
                <w:szCs w:val="20"/>
              </w:rPr>
              <w:t>имеются</w:t>
            </w:r>
            <w:r>
              <w:rPr>
                <w:rFonts w:ascii="Times New Roman" w:hAnsi="Times New Roman"/>
                <w:kern w:val="0"/>
                <w:sz w:val="20"/>
                <w:szCs w:val="20"/>
              </w:rPr>
              <w:t>.</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6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расходы по межеванию земельного участка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LibreOffice/24.2.7.2$Windows_X86_64 LibreOffice_project/ee3885777aa7032db5a9b65deec9457448a91162</Application>
  <AppVersion>15.0000</AppVersion>
  <Pages>3</Pages>
  <Words>1037</Words>
  <Characters>7295</Characters>
  <CharactersWithSpaces>8286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2025-11-12T10:43:21Z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