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E85542">
        <w:t>Шупле</w:t>
      </w:r>
      <w:r w:rsidR="00F96DE2" w:rsidRPr="001A795F">
        <w:t>цов</w:t>
      </w:r>
      <w:proofErr w:type="spellEnd"/>
      <w:r w:rsidR="00F96DE2" w:rsidRPr="001A795F">
        <w:t xml:space="preserve"> Данила Юрьевич,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3390F" w:rsidRDefault="00E12C49" w:rsidP="00DB4D55">
            <w:pPr>
              <w:widowControl w:val="0"/>
              <w:adjustRightInd w:val="0"/>
              <w:spacing w:before="0"/>
              <w:jc w:val="left"/>
              <w:rPr>
                <w:snapToGrid/>
              </w:rPr>
            </w:pPr>
            <w:r w:rsidRPr="0003390F">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3390F" w:rsidRDefault="00E12C49" w:rsidP="00DB4D55">
            <w:pPr>
              <w:widowControl w:val="0"/>
              <w:adjustRightInd w:val="0"/>
              <w:spacing w:before="0"/>
              <w:jc w:val="left"/>
              <w:rPr>
                <w:snapToGrid/>
              </w:rPr>
            </w:pPr>
            <w:r w:rsidRPr="0003390F">
              <w:rPr>
                <w:snapToGrid/>
              </w:rPr>
              <w:t>ЗИЛ-131С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3390F" w:rsidRDefault="00E12C49" w:rsidP="00DB4D55">
            <w:pPr>
              <w:widowControl w:val="0"/>
              <w:adjustRightInd w:val="0"/>
              <w:spacing w:before="0"/>
              <w:jc w:val="left"/>
              <w:rPr>
                <w:snapToGrid/>
              </w:rPr>
            </w:pPr>
            <w:r w:rsidRPr="0003390F">
              <w:rPr>
                <w:snapToGrid/>
              </w:rPr>
              <w:t>Грузовой бортовой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3390F" w:rsidRDefault="00E12C49" w:rsidP="00DB4D55">
            <w:pPr>
              <w:widowControl w:val="0"/>
              <w:adjustRightInd w:val="0"/>
              <w:spacing w:before="0"/>
              <w:jc w:val="left"/>
              <w:rPr>
                <w:snapToGrid/>
              </w:rPr>
            </w:pPr>
            <w:r w:rsidRPr="0003390F">
              <w:rPr>
                <w:snapToGrid/>
              </w:rPr>
              <w:t>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3390F" w:rsidRDefault="00E12C49" w:rsidP="00DB4D55">
            <w:pPr>
              <w:widowControl w:val="0"/>
              <w:adjustRightInd w:val="0"/>
              <w:spacing w:before="0"/>
              <w:jc w:val="left"/>
              <w:rPr>
                <w:snapToGrid/>
              </w:rPr>
            </w:pPr>
            <w:r w:rsidRPr="0003390F">
              <w:rPr>
                <w:snapToGrid/>
              </w:rPr>
              <w:t>1988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591085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Бензин</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3390F" w:rsidRDefault="00E12C49" w:rsidP="00DB4D55">
            <w:pPr>
              <w:widowControl w:val="0"/>
              <w:adjustRightInd w:val="0"/>
              <w:spacing w:before="0"/>
              <w:jc w:val="left"/>
              <w:rPr>
                <w:snapToGrid/>
              </w:rPr>
            </w:pPr>
            <w:r w:rsidRPr="0003390F">
              <w:rPr>
                <w:snapToGrid/>
              </w:rPr>
              <w:t>804693</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E12C49" w:rsidRPr="0003390F" w:rsidRDefault="00E12C49" w:rsidP="00DB4D55">
            <w:pPr>
              <w:widowControl w:val="0"/>
              <w:adjustRightInd w:val="0"/>
              <w:spacing w:before="0"/>
              <w:jc w:val="left"/>
              <w:rPr>
                <w:snapToGrid/>
              </w:rPr>
            </w:pPr>
            <w:r w:rsidRPr="0003390F">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3390F" w:rsidRDefault="00E12C49" w:rsidP="00DB4D55">
            <w:pPr>
              <w:widowControl w:val="0"/>
              <w:adjustRightInd w:val="0"/>
              <w:spacing w:before="0"/>
              <w:jc w:val="left"/>
              <w:rPr>
                <w:snapToGrid/>
              </w:rPr>
            </w:pPr>
            <w:r w:rsidRPr="0003390F">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3390F" w:rsidRDefault="00E12C49" w:rsidP="00DB4D55">
            <w:pPr>
              <w:widowControl w:val="0"/>
              <w:adjustRightInd w:val="0"/>
              <w:spacing w:before="0"/>
              <w:jc w:val="left"/>
              <w:rPr>
                <w:snapToGrid/>
              </w:rPr>
            </w:pPr>
            <w:r w:rsidRPr="0003390F">
              <w:rPr>
                <w:snapToGrid/>
              </w:rPr>
              <w:t>Завод им. Лихачева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3390F" w:rsidRDefault="00E12C49" w:rsidP="00DB4D55">
            <w:pPr>
              <w:widowControl w:val="0"/>
              <w:adjustRightInd w:val="0"/>
              <w:spacing w:before="0"/>
              <w:jc w:val="left"/>
              <w:rPr>
                <w:snapToGrid/>
              </w:rPr>
            </w:pPr>
            <w:r w:rsidRPr="0003390F">
              <w:rPr>
                <w:snapToGrid/>
              </w:rPr>
              <w:t>87 ВТ 023434</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3390F" w:rsidRDefault="00E12C49" w:rsidP="00DB4D55">
            <w:pPr>
              <w:widowControl w:val="0"/>
              <w:adjustRightInd w:val="0"/>
              <w:spacing w:before="0"/>
              <w:jc w:val="left"/>
              <w:rPr>
                <w:snapToGrid/>
              </w:rPr>
            </w:pPr>
            <w:r w:rsidRPr="0003390F">
              <w:rPr>
                <w:snapToGrid/>
              </w:rPr>
              <w:t>87 ОС 227087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3390F" w:rsidRDefault="00E12C49" w:rsidP="00DB4D55">
            <w:pPr>
              <w:widowControl w:val="0"/>
              <w:adjustRightInd w:val="0"/>
              <w:spacing w:before="0"/>
              <w:jc w:val="left"/>
              <w:rPr>
                <w:snapToGrid/>
              </w:rPr>
            </w:pPr>
            <w:r w:rsidRPr="0003390F">
              <w:rPr>
                <w:snapToGrid/>
              </w:rPr>
              <w:t>А 860 АА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E12C49" w:rsidP="00DB4D55">
            <w:pPr>
              <w:spacing w:before="0"/>
              <w:jc w:val="left"/>
              <w:rPr>
                <w:snapToGrid/>
              </w:rPr>
            </w:pPr>
            <w:r>
              <w:rPr>
                <w:snapToGrid/>
              </w:rPr>
              <w:t>Государственный регистрационный знак А 860 АА 87</w:t>
            </w:r>
          </w:p>
        </w:tc>
        <w:tc>
          <w:tcPr>
            <w:tcW w:w="1065" w:type="dxa"/>
            <w:shd w:val="clear" w:color="000000" w:fill="FFFFFF"/>
          </w:tcPr>
          <w:p w:rsidR="00C97748" w:rsidRPr="00056EE1" w:rsidRDefault="00E12C49"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65459B">
        <w:rPr>
          <w:snapToGrid/>
        </w:rPr>
        <w:t>305 000,00</w:t>
      </w:r>
      <w:r w:rsidRPr="00056EE1">
        <w:rPr>
          <w:snapToGrid/>
        </w:rPr>
        <w:t xml:space="preserve"> (</w:t>
      </w:r>
      <w:r w:rsidR="0065459B">
        <w:rPr>
          <w:snapToGrid/>
        </w:rPr>
        <w:t>Триста пять тысяч</w:t>
      </w:r>
      <w:r w:rsidRPr="00056EE1">
        <w:rPr>
          <w:snapToGrid/>
        </w:rPr>
        <w:t xml:space="preserve">) руб. </w:t>
      </w:r>
      <w:r w:rsidR="0065459B">
        <w:rPr>
          <w:snapToGrid/>
        </w:rPr>
        <w:t>00 коп., в том числе НДС (22</w:t>
      </w:r>
      <w:r w:rsidRPr="00056EE1">
        <w:rPr>
          <w:snapToGrid/>
        </w:rPr>
        <w:t xml:space="preserve">%) </w:t>
      </w:r>
      <w:r w:rsidR="0065459B">
        <w:rPr>
          <w:snapToGrid/>
        </w:rPr>
        <w:t>55 000,</w:t>
      </w:r>
      <w:proofErr w:type="gramStart"/>
      <w:r w:rsidR="0065459B">
        <w:rPr>
          <w:snapToGrid/>
        </w:rPr>
        <w:t xml:space="preserve">00 </w:t>
      </w:r>
      <w:r w:rsidRPr="00056EE1">
        <w:rPr>
          <w:snapToGrid/>
        </w:rPr>
        <w:t xml:space="preserve"> (</w:t>
      </w:r>
      <w:proofErr w:type="gramEnd"/>
      <w:r w:rsidR="0065459B">
        <w:rPr>
          <w:snapToGrid/>
        </w:rPr>
        <w:t>Пятьдесят пять тысяч</w:t>
      </w:r>
      <w:r w:rsidRPr="00056EE1">
        <w:rPr>
          <w:snapToGrid/>
        </w:rPr>
        <w:t xml:space="preserve">) руб. </w:t>
      </w:r>
      <w:r w:rsidR="0065459B">
        <w:rPr>
          <w:snapToGrid/>
        </w:rPr>
        <w:t>00</w:t>
      </w:r>
      <w:r w:rsidRPr="00056EE1">
        <w:rPr>
          <w:snapToGrid/>
        </w:rPr>
        <w:t xml:space="preserve">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Оплата Покупателем цены Имущества осуществляется единовременно не позднее 5 (пяти) рабочих дней с момента подпи</w:t>
      </w:r>
      <w:bookmarkStart w:id="0" w:name="_GoBack"/>
      <w:bookmarkEnd w:id="0"/>
      <w:r w:rsidRPr="00056EE1">
        <w:rPr>
          <w:snapToGrid/>
        </w:rPr>
        <w:t xml:space="preserve">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E85542" w:rsidRDefault="00F07DD5" w:rsidP="00F07DD5">
            <w:pPr>
              <w:autoSpaceDE w:val="0"/>
              <w:autoSpaceDN w:val="0"/>
              <w:spacing w:before="0"/>
              <w:jc w:val="left"/>
              <w:rPr>
                <w:snapToGrid/>
                <w:lang w:eastAsia="en-US"/>
              </w:rPr>
            </w:pPr>
            <w:r w:rsidRPr="00F07DD5">
              <w:rPr>
                <w:bCs/>
                <w:iCs/>
                <w:snapToGrid/>
                <w:lang w:val="en-US"/>
              </w:rPr>
              <w:t>E</w:t>
            </w:r>
            <w:r w:rsidRPr="00E85542">
              <w:rPr>
                <w:bCs/>
                <w:iCs/>
                <w:snapToGrid/>
              </w:rPr>
              <w:t>-</w:t>
            </w:r>
            <w:r w:rsidRPr="00F07DD5">
              <w:rPr>
                <w:bCs/>
                <w:iCs/>
                <w:snapToGrid/>
                <w:lang w:val="en-US"/>
              </w:rPr>
              <w:t>mail</w:t>
            </w:r>
            <w:r w:rsidRPr="00E85542">
              <w:rPr>
                <w:bCs/>
                <w:iCs/>
                <w:snapToGrid/>
              </w:rPr>
              <w:t xml:space="preserve">: </w:t>
            </w:r>
            <w:proofErr w:type="spellStart"/>
            <w:r w:rsidRPr="00F07DD5">
              <w:rPr>
                <w:bCs/>
                <w:iCs/>
                <w:snapToGrid/>
                <w:lang w:val="en-US"/>
              </w:rPr>
              <w:t>priem</w:t>
            </w:r>
            <w:proofErr w:type="spellEnd"/>
            <w:r w:rsidRPr="00E85542">
              <w:rPr>
                <w:bCs/>
                <w:iCs/>
                <w:snapToGrid/>
              </w:rPr>
              <w:t>@</w:t>
            </w:r>
            <w:proofErr w:type="spellStart"/>
            <w:r w:rsidRPr="00F07DD5">
              <w:rPr>
                <w:bCs/>
                <w:iCs/>
                <w:snapToGrid/>
                <w:lang w:val="en-US"/>
              </w:rPr>
              <w:t>nnet</w:t>
            </w:r>
            <w:proofErr w:type="spellEnd"/>
            <w:r w:rsidRPr="00E85542">
              <w:rPr>
                <w:bCs/>
                <w:iCs/>
                <w:snapToGrid/>
              </w:rPr>
              <w:t>.</w:t>
            </w:r>
            <w:proofErr w:type="spellStart"/>
            <w:r w:rsidRPr="00F07DD5">
              <w:rPr>
                <w:bCs/>
                <w:iCs/>
                <w:snapToGrid/>
                <w:lang w:val="en-US"/>
              </w:rPr>
              <w:t>chukotenergo</w:t>
            </w:r>
            <w:proofErr w:type="spellEnd"/>
            <w:r w:rsidRPr="00E85542">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E85542" w:rsidRDefault="00C97748" w:rsidP="00DB4D55">
            <w:pPr>
              <w:spacing w:before="0"/>
              <w:jc w:val="left"/>
              <w:rPr>
                <w:snapToGrid/>
                <w:lang w:eastAsia="en-US"/>
              </w:rPr>
            </w:pPr>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E85542"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Идентификационный номер (VIN)</w:t>
            </w:r>
          </w:p>
        </w:tc>
        <w:tc>
          <w:tcPr>
            <w:tcW w:w="5378" w:type="dxa"/>
          </w:tcPr>
          <w:p w:rsidR="0003390F" w:rsidRPr="00A66B77" w:rsidRDefault="0003390F" w:rsidP="0003390F">
            <w:pPr>
              <w:pStyle w:val="a8"/>
            </w:pPr>
            <w:r w:rsidRPr="00A66B77">
              <w:t>отсутствует</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Марка, модель ТС</w:t>
            </w:r>
          </w:p>
        </w:tc>
        <w:tc>
          <w:tcPr>
            <w:tcW w:w="5378" w:type="dxa"/>
          </w:tcPr>
          <w:p w:rsidR="0003390F" w:rsidRPr="00A66B77" w:rsidRDefault="0003390F" w:rsidP="0003390F">
            <w:pPr>
              <w:pStyle w:val="a8"/>
            </w:pPr>
            <w:r w:rsidRPr="00A66B77">
              <w:t>ЗИЛ-131С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Наименование (тип ТС)</w:t>
            </w:r>
          </w:p>
        </w:tc>
        <w:tc>
          <w:tcPr>
            <w:tcW w:w="5378" w:type="dxa"/>
          </w:tcPr>
          <w:p w:rsidR="0003390F" w:rsidRPr="00A66B77" w:rsidRDefault="0003390F" w:rsidP="0003390F">
            <w:pPr>
              <w:pStyle w:val="a8"/>
            </w:pPr>
            <w:r w:rsidRPr="00A66B77">
              <w:t>Грузовой бортовой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03390F" w:rsidRPr="00A66B77" w:rsidRDefault="0003390F" w:rsidP="0003390F">
            <w:pPr>
              <w:pStyle w:val="a8"/>
            </w:pPr>
            <w:r w:rsidRPr="00A66B77">
              <w:t>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Год изготовления ТС</w:t>
            </w:r>
          </w:p>
        </w:tc>
        <w:tc>
          <w:tcPr>
            <w:tcW w:w="5378" w:type="dxa"/>
          </w:tcPr>
          <w:p w:rsidR="0003390F" w:rsidRPr="00A66B77" w:rsidRDefault="0003390F" w:rsidP="0003390F">
            <w:pPr>
              <w:pStyle w:val="a8"/>
            </w:pPr>
            <w:r w:rsidRPr="00A66B77">
              <w:t>1988</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Модель, № двигателя</w:t>
            </w:r>
          </w:p>
        </w:tc>
        <w:tc>
          <w:tcPr>
            <w:tcW w:w="5378" w:type="dxa"/>
          </w:tcPr>
          <w:p w:rsidR="0003390F" w:rsidRPr="00A66B77" w:rsidRDefault="0003390F" w:rsidP="0003390F">
            <w:pPr>
              <w:pStyle w:val="a8"/>
            </w:pPr>
            <w:r w:rsidRPr="00A66B77">
              <w:t>591085</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Тип двигателя</w:t>
            </w:r>
          </w:p>
        </w:tc>
        <w:tc>
          <w:tcPr>
            <w:tcW w:w="5378" w:type="dxa"/>
          </w:tcPr>
          <w:p w:rsidR="0003390F" w:rsidRPr="00A66B77" w:rsidRDefault="0003390F" w:rsidP="0003390F">
            <w:pPr>
              <w:pStyle w:val="a8"/>
            </w:pPr>
            <w:r w:rsidRPr="00A66B77">
              <w:t>Бензин</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Шасси (рама) №</w:t>
            </w:r>
          </w:p>
        </w:tc>
        <w:tc>
          <w:tcPr>
            <w:tcW w:w="5378" w:type="dxa"/>
          </w:tcPr>
          <w:p w:rsidR="0003390F" w:rsidRPr="00A66B77" w:rsidRDefault="0003390F" w:rsidP="0003390F">
            <w:pPr>
              <w:pStyle w:val="a8"/>
            </w:pPr>
            <w:r w:rsidRPr="00A66B77">
              <w:t>804693</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Кузов (кабина, прицеп) №</w:t>
            </w:r>
          </w:p>
        </w:tc>
        <w:tc>
          <w:tcPr>
            <w:tcW w:w="5378" w:type="dxa"/>
          </w:tcPr>
          <w:p w:rsidR="0003390F" w:rsidRPr="00A66B77" w:rsidRDefault="0003390F" w:rsidP="0003390F">
            <w:pPr>
              <w:pStyle w:val="a8"/>
            </w:pPr>
            <w:r w:rsidRPr="00A66B77">
              <w:t>-</w:t>
            </w:r>
          </w:p>
        </w:tc>
      </w:tr>
      <w:tr w:rsidR="0003390F" w:rsidRPr="00056EE1" w:rsidTr="00081301">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Цвет кузова (кабины, прицепа)</w:t>
            </w:r>
          </w:p>
        </w:tc>
        <w:tc>
          <w:tcPr>
            <w:tcW w:w="5378" w:type="dxa"/>
          </w:tcPr>
          <w:p w:rsidR="0003390F" w:rsidRPr="00A66B77" w:rsidRDefault="0003390F" w:rsidP="0003390F">
            <w:pPr>
              <w:pStyle w:val="a8"/>
            </w:pPr>
            <w:r w:rsidRPr="00A66B77">
              <w:t>зеленый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Организация-изготовитель (страна)</w:t>
            </w:r>
          </w:p>
        </w:tc>
        <w:tc>
          <w:tcPr>
            <w:tcW w:w="5378" w:type="dxa"/>
          </w:tcPr>
          <w:p w:rsidR="0003390F" w:rsidRPr="00A66B77" w:rsidRDefault="0003390F" w:rsidP="0003390F">
            <w:pPr>
              <w:pStyle w:val="a8"/>
            </w:pPr>
            <w:r w:rsidRPr="00A66B77">
              <w:t>Завод им. Лихачева /Россия/</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 xml:space="preserve">Паспорт Транспортного средства </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w:t>
            </w:r>
          </w:p>
        </w:tc>
        <w:tc>
          <w:tcPr>
            <w:tcW w:w="5378" w:type="dxa"/>
          </w:tcPr>
          <w:p w:rsidR="0003390F" w:rsidRPr="00A66B77" w:rsidRDefault="0003390F" w:rsidP="0003390F">
            <w:pPr>
              <w:pStyle w:val="a8"/>
            </w:pPr>
            <w:r w:rsidRPr="00A66B77">
              <w:t>87 ВТ 023434</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Свидетельство о регистрации ТС</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выдано)</w:t>
            </w:r>
          </w:p>
        </w:tc>
        <w:tc>
          <w:tcPr>
            <w:tcW w:w="5378" w:type="dxa"/>
          </w:tcPr>
          <w:p w:rsidR="0003390F" w:rsidRPr="00A66B77" w:rsidRDefault="0003390F" w:rsidP="0003390F">
            <w:pPr>
              <w:pStyle w:val="a8"/>
            </w:pPr>
            <w:r w:rsidRPr="00A66B77">
              <w:t>87 ОС 227087</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Регистрационный знак</w:t>
            </w:r>
          </w:p>
        </w:tc>
        <w:tc>
          <w:tcPr>
            <w:tcW w:w="5378" w:type="dxa"/>
          </w:tcPr>
          <w:p w:rsidR="0003390F" w:rsidRDefault="0003390F" w:rsidP="0003390F">
            <w:pPr>
              <w:pStyle w:val="a8"/>
            </w:pPr>
            <w:r w:rsidRPr="00A66B77">
              <w:t>А 860 АА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03390F" w:rsidP="00DB4D55">
            <w:pPr>
              <w:spacing w:before="0"/>
              <w:jc w:val="left"/>
              <w:rPr>
                <w:snapToGrid/>
              </w:rPr>
            </w:pPr>
            <w:r>
              <w:rPr>
                <w:snapToGrid/>
              </w:rPr>
              <w:t>Государственный регистрационный номер  А 860 АА 87</w:t>
            </w:r>
          </w:p>
        </w:tc>
        <w:tc>
          <w:tcPr>
            <w:tcW w:w="1065" w:type="dxa"/>
            <w:shd w:val="clear" w:color="000000" w:fill="FFFFFF"/>
          </w:tcPr>
          <w:p w:rsidR="00C97748" w:rsidRPr="00056EE1" w:rsidRDefault="0003390F"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A8431D" w:rsidRDefault="00A8431D"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3390F"/>
    <w:rsid w:val="001743A7"/>
    <w:rsid w:val="001A795F"/>
    <w:rsid w:val="00204279"/>
    <w:rsid w:val="003078CE"/>
    <w:rsid w:val="00316389"/>
    <w:rsid w:val="00407172"/>
    <w:rsid w:val="004205CA"/>
    <w:rsid w:val="00483DCF"/>
    <w:rsid w:val="0065459B"/>
    <w:rsid w:val="00673B07"/>
    <w:rsid w:val="007231C3"/>
    <w:rsid w:val="0074361E"/>
    <w:rsid w:val="007D433F"/>
    <w:rsid w:val="007E6855"/>
    <w:rsid w:val="009753A4"/>
    <w:rsid w:val="00A0750D"/>
    <w:rsid w:val="00A8431D"/>
    <w:rsid w:val="00A919A7"/>
    <w:rsid w:val="00C779F6"/>
    <w:rsid w:val="00C93FE0"/>
    <w:rsid w:val="00C97748"/>
    <w:rsid w:val="00D1294C"/>
    <w:rsid w:val="00D807EF"/>
    <w:rsid w:val="00D94628"/>
    <w:rsid w:val="00E12C49"/>
    <w:rsid w:val="00E85542"/>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C05D"/>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03390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3722</Words>
  <Characters>21218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18</cp:revision>
  <dcterms:created xsi:type="dcterms:W3CDTF">2026-01-25T21:09:00Z</dcterms:created>
  <dcterms:modified xsi:type="dcterms:W3CDTF">2026-02-12T21:12:00Z</dcterms:modified>
</cp:coreProperties>
</file>