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6E6C7C">
        <w:t>Шупле</w:t>
      </w:r>
      <w:r w:rsidR="00F96DE2" w:rsidRPr="001A795F">
        <w:t>цов</w:t>
      </w:r>
      <w:r w:rsidR="006E6C7C">
        <w:t>а</w:t>
      </w:r>
      <w:proofErr w:type="spellEnd"/>
      <w:r w:rsidR="00F96DE2" w:rsidRPr="001A795F">
        <w:t xml:space="preserve"> Данила Юрьевич</w:t>
      </w:r>
      <w:r w:rsidR="006E6C7C">
        <w:t>а</w:t>
      </w:r>
      <w:r w:rsidR="00F96DE2" w:rsidRPr="001A795F">
        <w:t xml:space="preserve">,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6E6C7C" w:rsidRPr="00B5501B" w:rsidRDefault="006E6C7C"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B5501B" w:rsidRDefault="006E6C7C" w:rsidP="00DB4D55">
            <w:pPr>
              <w:widowControl w:val="0"/>
              <w:adjustRightInd w:val="0"/>
              <w:spacing w:before="0"/>
              <w:jc w:val="left"/>
              <w:rPr>
                <w:snapToGrid/>
              </w:rPr>
            </w:pPr>
            <w:r w:rsidRPr="00B5501B">
              <w:rPr>
                <w:snapToGrid/>
              </w:rPr>
              <w:t>МТББВ-НС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B5501B" w:rsidRDefault="006E6C7C" w:rsidP="00DB4D55">
            <w:pPr>
              <w:widowControl w:val="0"/>
              <w:adjustRightInd w:val="0"/>
              <w:spacing w:before="0"/>
              <w:jc w:val="left"/>
              <w:rPr>
                <w:snapToGrid/>
              </w:rPr>
            </w:pPr>
            <w:r w:rsidRPr="00B5501B">
              <w:rPr>
                <w:snapToGrid/>
              </w:rPr>
              <w:t>Многоцелевой транспортер тягач</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B5501B"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B5501B" w:rsidRDefault="006E6C7C" w:rsidP="00DB4D55">
            <w:pPr>
              <w:widowControl w:val="0"/>
              <w:adjustRightInd w:val="0"/>
              <w:spacing w:before="0"/>
              <w:jc w:val="left"/>
              <w:rPr>
                <w:snapToGrid/>
              </w:rPr>
            </w:pPr>
            <w:r w:rsidRPr="00B5501B">
              <w:rPr>
                <w:snapToGrid/>
              </w:rPr>
              <w:t>2005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42731</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B5501B" w:rsidRDefault="00A47155" w:rsidP="00DB4D55">
            <w:pPr>
              <w:widowControl w:val="0"/>
              <w:adjustRightInd w:val="0"/>
              <w:spacing w:before="0"/>
              <w:jc w:val="left"/>
              <w:rPr>
                <w:snapToGrid/>
              </w:rPr>
            </w:pPr>
            <w:r w:rsidRPr="00B5501B">
              <w:rPr>
                <w:snapToGrid/>
              </w:rPr>
              <w:t>7040607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B5501B" w:rsidRDefault="00A47155"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B5501B" w:rsidRDefault="00A47155" w:rsidP="00DB4D55">
            <w:pPr>
              <w:widowControl w:val="0"/>
              <w:adjustRightInd w:val="0"/>
              <w:spacing w:before="0"/>
              <w:jc w:val="left"/>
              <w:rPr>
                <w:snapToGrid/>
              </w:rPr>
            </w:pPr>
            <w:r w:rsidRPr="00B5501B">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B5501B" w:rsidRDefault="00A47155" w:rsidP="00DB4D55">
            <w:pPr>
              <w:widowControl w:val="0"/>
              <w:adjustRightInd w:val="0"/>
              <w:spacing w:before="0"/>
              <w:jc w:val="left"/>
              <w:rPr>
                <w:snapToGrid/>
              </w:rPr>
            </w:pPr>
            <w:r w:rsidRPr="00B5501B">
              <w:rPr>
                <w:snapToGrid/>
              </w:rPr>
              <w:t>ОАО «Рубцовске машиностроительный завод»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B5501B" w:rsidRDefault="00A47155" w:rsidP="00DB4D55">
            <w:pPr>
              <w:widowControl w:val="0"/>
              <w:adjustRightInd w:val="0"/>
              <w:spacing w:before="0"/>
              <w:jc w:val="left"/>
              <w:rPr>
                <w:snapToGrid/>
              </w:rPr>
            </w:pPr>
            <w:r w:rsidRPr="00B5501B">
              <w:rPr>
                <w:snapToGrid/>
              </w:rPr>
              <w:t>ВВ 107562</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B5501B" w:rsidRDefault="00A47155" w:rsidP="00DB4D55">
            <w:pPr>
              <w:widowControl w:val="0"/>
              <w:adjustRightInd w:val="0"/>
              <w:spacing w:before="0"/>
              <w:jc w:val="left"/>
              <w:rPr>
                <w:snapToGrid/>
              </w:rPr>
            </w:pPr>
            <w:r w:rsidRPr="00B5501B">
              <w:rPr>
                <w:snapToGrid/>
              </w:rPr>
              <w:t xml:space="preserve">АВ </w:t>
            </w:r>
            <w:r w:rsidR="00641FAD" w:rsidRPr="00B5501B">
              <w:rPr>
                <w:snapToGrid/>
              </w:rPr>
              <w:t>453682</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B5501B" w:rsidRDefault="00641FAD" w:rsidP="00DB4D55">
            <w:pPr>
              <w:widowControl w:val="0"/>
              <w:adjustRightInd w:val="0"/>
              <w:spacing w:before="0"/>
              <w:jc w:val="left"/>
              <w:rPr>
                <w:snapToGrid/>
              </w:rPr>
            </w:pPr>
            <w:r w:rsidRPr="00B5501B">
              <w:rPr>
                <w:snapToGrid/>
              </w:rPr>
              <w:t>87 УТ 3460</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641FAD" w:rsidP="00DB4D55">
            <w:pPr>
              <w:spacing w:before="0"/>
              <w:jc w:val="left"/>
              <w:rPr>
                <w:snapToGrid/>
              </w:rPr>
            </w:pPr>
            <w:r>
              <w:rPr>
                <w:snapToGrid/>
              </w:rPr>
              <w:t xml:space="preserve">Государственный регистрационный знак </w:t>
            </w:r>
            <w:r w:rsidRPr="00641FAD">
              <w:rPr>
                <w:snapToGrid/>
              </w:rPr>
              <w:t>87 УТ 3460</w:t>
            </w:r>
          </w:p>
        </w:tc>
        <w:tc>
          <w:tcPr>
            <w:tcW w:w="1065" w:type="dxa"/>
            <w:shd w:val="clear" w:color="000000" w:fill="FFFFFF"/>
          </w:tcPr>
          <w:p w:rsidR="00C97748" w:rsidRPr="00056EE1" w:rsidRDefault="00641FAD" w:rsidP="00DB4D55">
            <w:pPr>
              <w:spacing w:before="0"/>
              <w:jc w:val="center"/>
              <w:rPr>
                <w:snapToGrid/>
              </w:rPr>
            </w:pPr>
            <w:r>
              <w:rPr>
                <w:snapToGrid/>
              </w:rPr>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B32D7E">
        <w:rPr>
          <w:snapToGrid/>
        </w:rPr>
        <w:t>939 400,00</w:t>
      </w:r>
      <w:r w:rsidRPr="00056EE1">
        <w:rPr>
          <w:snapToGrid/>
        </w:rPr>
        <w:t xml:space="preserve"> (</w:t>
      </w:r>
      <w:r w:rsidR="00B32D7E">
        <w:rPr>
          <w:snapToGrid/>
        </w:rPr>
        <w:t xml:space="preserve">Девятьсот тридцать девять </w:t>
      </w:r>
      <w:bookmarkStart w:id="0" w:name="_GoBack"/>
      <w:bookmarkEnd w:id="0"/>
      <w:r w:rsidR="00B32D7E">
        <w:rPr>
          <w:snapToGrid/>
        </w:rPr>
        <w:t>тысяч четыреста</w:t>
      </w:r>
      <w:r w:rsidRPr="00056EE1">
        <w:rPr>
          <w:snapToGrid/>
        </w:rPr>
        <w:t xml:space="preserve">) руб. </w:t>
      </w:r>
      <w:r w:rsidR="00B32D7E">
        <w:rPr>
          <w:snapToGrid/>
        </w:rPr>
        <w:t>00</w:t>
      </w:r>
      <w:r w:rsidRPr="00056EE1">
        <w:rPr>
          <w:snapToGrid/>
        </w:rPr>
        <w:t xml:space="preserve"> коп., в </w:t>
      </w:r>
      <w:r w:rsidR="00B32D7E">
        <w:rPr>
          <w:snapToGrid/>
        </w:rPr>
        <w:t>том числе НДС (22</w:t>
      </w:r>
      <w:r w:rsidRPr="00056EE1">
        <w:rPr>
          <w:snapToGrid/>
        </w:rPr>
        <w:t xml:space="preserve">%) </w:t>
      </w:r>
      <w:r w:rsidR="00B32D7E">
        <w:rPr>
          <w:snapToGrid/>
        </w:rPr>
        <w:t>169 400,00</w:t>
      </w:r>
      <w:r w:rsidRPr="00056EE1">
        <w:rPr>
          <w:snapToGrid/>
        </w:rPr>
        <w:t xml:space="preserve"> (</w:t>
      </w:r>
      <w:r w:rsidR="00B32D7E">
        <w:rPr>
          <w:snapToGrid/>
        </w:rPr>
        <w:t>Сто шестьдесят девять тысяч четыреста</w:t>
      </w:r>
      <w:r w:rsidRPr="00056EE1">
        <w:rPr>
          <w:snapToGrid/>
        </w:rPr>
        <w:t xml:space="preserve">) руб. </w:t>
      </w:r>
      <w:r w:rsidR="00B32D7E">
        <w:rPr>
          <w:snapToGrid/>
        </w:rPr>
        <w:t>00</w:t>
      </w:r>
      <w:r w:rsidRPr="00056EE1">
        <w:rPr>
          <w:snapToGrid/>
        </w:rPr>
        <w:t xml:space="preserve">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6E6C7C" w:rsidRDefault="00F07DD5" w:rsidP="00F07DD5">
            <w:pPr>
              <w:autoSpaceDE w:val="0"/>
              <w:autoSpaceDN w:val="0"/>
              <w:spacing w:before="0"/>
              <w:jc w:val="left"/>
              <w:rPr>
                <w:snapToGrid/>
                <w:lang w:eastAsia="en-US"/>
              </w:rPr>
            </w:pPr>
            <w:r w:rsidRPr="00F07DD5">
              <w:rPr>
                <w:bCs/>
                <w:iCs/>
                <w:snapToGrid/>
                <w:lang w:val="en-US"/>
              </w:rPr>
              <w:t>E</w:t>
            </w:r>
            <w:r w:rsidRPr="006E6C7C">
              <w:rPr>
                <w:bCs/>
                <w:iCs/>
                <w:snapToGrid/>
              </w:rPr>
              <w:t>-</w:t>
            </w:r>
            <w:r w:rsidRPr="00F07DD5">
              <w:rPr>
                <w:bCs/>
                <w:iCs/>
                <w:snapToGrid/>
                <w:lang w:val="en-US"/>
              </w:rPr>
              <w:t>mail</w:t>
            </w:r>
            <w:r w:rsidRPr="006E6C7C">
              <w:rPr>
                <w:bCs/>
                <w:iCs/>
                <w:snapToGrid/>
              </w:rPr>
              <w:t xml:space="preserve">: </w:t>
            </w:r>
            <w:proofErr w:type="spellStart"/>
            <w:r w:rsidRPr="00F07DD5">
              <w:rPr>
                <w:bCs/>
                <w:iCs/>
                <w:snapToGrid/>
                <w:lang w:val="en-US"/>
              </w:rPr>
              <w:t>priem</w:t>
            </w:r>
            <w:proofErr w:type="spellEnd"/>
            <w:r w:rsidRPr="006E6C7C">
              <w:rPr>
                <w:bCs/>
                <w:iCs/>
                <w:snapToGrid/>
              </w:rPr>
              <w:t>@</w:t>
            </w:r>
            <w:proofErr w:type="spellStart"/>
            <w:r w:rsidRPr="00F07DD5">
              <w:rPr>
                <w:bCs/>
                <w:iCs/>
                <w:snapToGrid/>
                <w:lang w:val="en-US"/>
              </w:rPr>
              <w:t>nnet</w:t>
            </w:r>
            <w:proofErr w:type="spellEnd"/>
            <w:r w:rsidRPr="006E6C7C">
              <w:rPr>
                <w:bCs/>
                <w:iCs/>
                <w:snapToGrid/>
              </w:rPr>
              <w:t>.</w:t>
            </w:r>
            <w:proofErr w:type="spellStart"/>
            <w:r w:rsidRPr="00F07DD5">
              <w:rPr>
                <w:bCs/>
                <w:iCs/>
                <w:snapToGrid/>
                <w:lang w:val="en-US"/>
              </w:rPr>
              <w:t>chukotenergo</w:t>
            </w:r>
            <w:proofErr w:type="spellEnd"/>
            <w:r w:rsidRPr="006E6C7C">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6E6C7C" w:rsidRDefault="00C97748" w:rsidP="00DB4D55">
            <w:pPr>
              <w:spacing w:before="0"/>
              <w:jc w:val="left"/>
              <w:rPr>
                <w:snapToGrid/>
                <w:lang w:eastAsia="en-US"/>
              </w:rPr>
            </w:pPr>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E6C7C"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Идентификационный номер (VIN)</w:t>
            </w:r>
          </w:p>
        </w:tc>
        <w:tc>
          <w:tcPr>
            <w:tcW w:w="5378" w:type="dxa"/>
          </w:tcPr>
          <w:p w:rsidR="00A90D24" w:rsidRPr="003A15E5" w:rsidRDefault="00A90D24" w:rsidP="00A90D24">
            <w:pPr>
              <w:pStyle w:val="a8"/>
            </w:pPr>
            <w:r w:rsidRPr="003A15E5">
              <w:t>-</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Марка, модель ТС</w:t>
            </w:r>
          </w:p>
        </w:tc>
        <w:tc>
          <w:tcPr>
            <w:tcW w:w="5378" w:type="dxa"/>
          </w:tcPr>
          <w:p w:rsidR="00A90D24" w:rsidRPr="003A15E5" w:rsidRDefault="00A90D24" w:rsidP="00A90D24">
            <w:pPr>
              <w:pStyle w:val="a8"/>
            </w:pPr>
            <w:r w:rsidRPr="003A15E5">
              <w:t>МТББВ-НС</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Наименование (тип ТС)</w:t>
            </w:r>
          </w:p>
        </w:tc>
        <w:tc>
          <w:tcPr>
            <w:tcW w:w="5378" w:type="dxa"/>
          </w:tcPr>
          <w:p w:rsidR="00A90D24" w:rsidRPr="003A15E5" w:rsidRDefault="00A90D24" w:rsidP="00A90D24">
            <w:pPr>
              <w:pStyle w:val="a8"/>
            </w:pPr>
            <w:r w:rsidRPr="003A15E5">
              <w:t>Многоцелевой транспортер тягач</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A90D24" w:rsidRPr="003A15E5" w:rsidRDefault="00A90D24" w:rsidP="00A90D24">
            <w:pPr>
              <w:pStyle w:val="a8"/>
            </w:pP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Год изготовления ТС</w:t>
            </w:r>
          </w:p>
        </w:tc>
        <w:tc>
          <w:tcPr>
            <w:tcW w:w="5378" w:type="dxa"/>
          </w:tcPr>
          <w:p w:rsidR="00A90D24" w:rsidRPr="003A15E5" w:rsidRDefault="00A90D24" w:rsidP="00A90D24">
            <w:pPr>
              <w:pStyle w:val="a8"/>
            </w:pPr>
            <w:r w:rsidRPr="003A15E5">
              <w:t>2005</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Модель, № двигателя</w:t>
            </w:r>
          </w:p>
        </w:tc>
        <w:tc>
          <w:tcPr>
            <w:tcW w:w="5378" w:type="dxa"/>
          </w:tcPr>
          <w:p w:rsidR="00A90D24" w:rsidRPr="003A15E5" w:rsidRDefault="00A90D24" w:rsidP="00A90D24">
            <w:pPr>
              <w:pStyle w:val="a8"/>
            </w:pPr>
            <w:r w:rsidRPr="003A15E5">
              <w:t>42731</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Тип двигателя</w:t>
            </w:r>
          </w:p>
        </w:tc>
        <w:tc>
          <w:tcPr>
            <w:tcW w:w="5378" w:type="dxa"/>
          </w:tcPr>
          <w:p w:rsidR="00A90D24" w:rsidRPr="003A15E5" w:rsidRDefault="00A90D24" w:rsidP="00A90D24">
            <w:pPr>
              <w:pStyle w:val="a8"/>
            </w:pPr>
            <w:r w:rsidRPr="003A15E5">
              <w:t>дизель</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Шасси (рама) №</w:t>
            </w:r>
          </w:p>
        </w:tc>
        <w:tc>
          <w:tcPr>
            <w:tcW w:w="5378" w:type="dxa"/>
          </w:tcPr>
          <w:p w:rsidR="00A90D24" w:rsidRPr="003A15E5" w:rsidRDefault="00A90D24" w:rsidP="00A90D24">
            <w:pPr>
              <w:pStyle w:val="a8"/>
            </w:pPr>
            <w:r w:rsidRPr="003A15E5">
              <w:t>7040607</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Кузов (кабина, прицеп) №</w:t>
            </w:r>
          </w:p>
        </w:tc>
        <w:tc>
          <w:tcPr>
            <w:tcW w:w="5378" w:type="dxa"/>
          </w:tcPr>
          <w:p w:rsidR="00A90D24" w:rsidRPr="003A15E5" w:rsidRDefault="00A90D24" w:rsidP="00A90D24">
            <w:pPr>
              <w:pStyle w:val="a8"/>
            </w:pPr>
            <w:r w:rsidRPr="003A15E5">
              <w:t>-</w:t>
            </w:r>
          </w:p>
        </w:tc>
      </w:tr>
      <w:tr w:rsidR="00A90D24" w:rsidRPr="00056EE1" w:rsidTr="008B776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Цвет кузова (кабины, прицепа)</w:t>
            </w:r>
          </w:p>
        </w:tc>
        <w:tc>
          <w:tcPr>
            <w:tcW w:w="5378" w:type="dxa"/>
          </w:tcPr>
          <w:p w:rsidR="00A90D24" w:rsidRPr="003A15E5" w:rsidRDefault="00A90D24" w:rsidP="00A90D24">
            <w:pPr>
              <w:pStyle w:val="a8"/>
            </w:pPr>
            <w:r w:rsidRPr="003A15E5">
              <w:t>зеленый</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Организация-изготовитель (страна)</w:t>
            </w:r>
          </w:p>
        </w:tc>
        <w:tc>
          <w:tcPr>
            <w:tcW w:w="5378" w:type="dxa"/>
          </w:tcPr>
          <w:p w:rsidR="00A90D24" w:rsidRPr="003A15E5" w:rsidRDefault="00A90D24" w:rsidP="00A90D24">
            <w:pPr>
              <w:pStyle w:val="a8"/>
            </w:pPr>
            <w:r w:rsidRPr="003A15E5">
              <w:t>ОАО «Рубцовске машиностроительный завод» Россия</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 xml:space="preserve">Паспорт Транспортного средства </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w:t>
            </w:r>
          </w:p>
        </w:tc>
        <w:tc>
          <w:tcPr>
            <w:tcW w:w="5378" w:type="dxa"/>
          </w:tcPr>
          <w:p w:rsidR="00A90D24" w:rsidRPr="003A15E5" w:rsidRDefault="00A90D24" w:rsidP="00A90D24">
            <w:pPr>
              <w:pStyle w:val="a8"/>
            </w:pPr>
            <w:r w:rsidRPr="003A15E5">
              <w:t>ВВ 107562</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Свидетельство о регистрации ТС</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выдано)</w:t>
            </w:r>
          </w:p>
        </w:tc>
        <w:tc>
          <w:tcPr>
            <w:tcW w:w="5378" w:type="dxa"/>
          </w:tcPr>
          <w:p w:rsidR="00A90D24" w:rsidRPr="003A15E5" w:rsidRDefault="00A90D24" w:rsidP="00A90D24">
            <w:pPr>
              <w:pStyle w:val="a8"/>
            </w:pPr>
            <w:r w:rsidRPr="003A15E5">
              <w:t>АВ 453682</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Регистрационный знак</w:t>
            </w:r>
          </w:p>
        </w:tc>
        <w:tc>
          <w:tcPr>
            <w:tcW w:w="5378" w:type="dxa"/>
          </w:tcPr>
          <w:p w:rsidR="00A90D24" w:rsidRDefault="00A90D24" w:rsidP="00A90D24">
            <w:r w:rsidRPr="003A15E5">
              <w:t>87 УТ 3460</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11351C" w:rsidRPr="00056EE1" w:rsidTr="00DB4D55">
        <w:trPr>
          <w:jc w:val="center"/>
        </w:trPr>
        <w:tc>
          <w:tcPr>
            <w:tcW w:w="1306" w:type="dxa"/>
          </w:tcPr>
          <w:p w:rsidR="0011351C" w:rsidRPr="00056EE1" w:rsidRDefault="0011351C" w:rsidP="0011351C">
            <w:pPr>
              <w:widowControl w:val="0"/>
              <w:adjustRightInd w:val="0"/>
              <w:spacing w:before="0"/>
              <w:jc w:val="center"/>
              <w:rPr>
                <w:snapToGrid/>
              </w:rPr>
            </w:pPr>
            <w:r w:rsidRPr="00056EE1">
              <w:rPr>
                <w:snapToGrid/>
              </w:rPr>
              <w:t>1</w:t>
            </w:r>
          </w:p>
        </w:tc>
        <w:tc>
          <w:tcPr>
            <w:tcW w:w="7729" w:type="dxa"/>
            <w:shd w:val="clear" w:color="000000" w:fill="FFFFFF"/>
          </w:tcPr>
          <w:p w:rsidR="0011351C" w:rsidRPr="002524FD" w:rsidRDefault="0011351C" w:rsidP="00B32D7E">
            <w:pPr>
              <w:pStyle w:val="a8"/>
            </w:pPr>
            <w:r w:rsidRPr="002524FD">
              <w:t>Государственный регистрационный знак 87 УТ 3460</w:t>
            </w:r>
          </w:p>
        </w:tc>
        <w:tc>
          <w:tcPr>
            <w:tcW w:w="1065" w:type="dxa"/>
            <w:shd w:val="clear" w:color="000000" w:fill="FFFFFF"/>
          </w:tcPr>
          <w:p w:rsidR="0011351C" w:rsidRDefault="0011351C" w:rsidP="00B32D7E">
            <w:pPr>
              <w:pStyle w:val="a8"/>
            </w:pPr>
            <w:r w:rsidRPr="002524FD">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1351C"/>
    <w:rsid w:val="001743A7"/>
    <w:rsid w:val="001A795F"/>
    <w:rsid w:val="00204279"/>
    <w:rsid w:val="003078CE"/>
    <w:rsid w:val="00316389"/>
    <w:rsid w:val="00407172"/>
    <w:rsid w:val="004205CA"/>
    <w:rsid w:val="00483DCF"/>
    <w:rsid w:val="00641FAD"/>
    <w:rsid w:val="00673B07"/>
    <w:rsid w:val="006E6C7C"/>
    <w:rsid w:val="0074361E"/>
    <w:rsid w:val="007D433F"/>
    <w:rsid w:val="007E6855"/>
    <w:rsid w:val="009753A4"/>
    <w:rsid w:val="00A0750D"/>
    <w:rsid w:val="00A47155"/>
    <w:rsid w:val="00A90D24"/>
    <w:rsid w:val="00A919A7"/>
    <w:rsid w:val="00B32D7E"/>
    <w:rsid w:val="00B5501B"/>
    <w:rsid w:val="00C779F6"/>
    <w:rsid w:val="00C93FE0"/>
    <w:rsid w:val="00C97748"/>
    <w:rsid w:val="00D1294C"/>
    <w:rsid w:val="00D807EF"/>
    <w:rsid w:val="00D94628"/>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FCC"/>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A90D24"/>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3731</Words>
  <Characters>21272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18</cp:revision>
  <dcterms:created xsi:type="dcterms:W3CDTF">2026-01-25T21:09:00Z</dcterms:created>
  <dcterms:modified xsi:type="dcterms:W3CDTF">2026-02-12T21:56:00Z</dcterms:modified>
</cp:coreProperties>
</file>