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0475AD53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 w:rsidR="00077D2E">
        <w:t>6</w:t>
      </w:r>
      <w:r w:rsidRPr="00DB3CB0">
        <w:t xml:space="preserve"> № Д-0</w:t>
      </w:r>
      <w:r w:rsidR="00077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E25610">
        <w:rPr>
          <w:bCs/>
        </w:rPr>
        <w:t>Парфененко Алексея Леонидовича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77D2E"/>
    <w:rsid w:val="000C650C"/>
    <w:rsid w:val="0011688F"/>
    <w:rsid w:val="00124851"/>
    <w:rsid w:val="001A472C"/>
    <w:rsid w:val="002D64DF"/>
    <w:rsid w:val="002F6C68"/>
    <w:rsid w:val="005205AA"/>
    <w:rsid w:val="0059039A"/>
    <w:rsid w:val="0060173D"/>
    <w:rsid w:val="007674AC"/>
    <w:rsid w:val="00806A14"/>
    <w:rsid w:val="008912F5"/>
    <w:rsid w:val="008D7D21"/>
    <w:rsid w:val="008F3020"/>
    <w:rsid w:val="00930B38"/>
    <w:rsid w:val="00944CB1"/>
    <w:rsid w:val="009725CF"/>
    <w:rsid w:val="009D6A64"/>
    <w:rsid w:val="00A15958"/>
    <w:rsid w:val="00AE1EF0"/>
    <w:rsid w:val="00B23CB1"/>
    <w:rsid w:val="00B71A22"/>
    <w:rsid w:val="00BB2068"/>
    <w:rsid w:val="00C42903"/>
    <w:rsid w:val="00C52D65"/>
    <w:rsid w:val="00CE1725"/>
    <w:rsid w:val="00CF20F3"/>
    <w:rsid w:val="00D16833"/>
    <w:rsid w:val="00D31D99"/>
    <w:rsid w:val="00D87689"/>
    <w:rsid w:val="00DD4E45"/>
    <w:rsid w:val="00E25610"/>
    <w:rsid w:val="00EF3B1B"/>
    <w:rsid w:val="00F06C69"/>
    <w:rsid w:val="00F14C9E"/>
    <w:rsid w:val="00F15831"/>
    <w:rsid w:val="00F60D3E"/>
    <w:rsid w:val="00FA5B1A"/>
    <w:rsid w:val="00FD689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26</cp:revision>
  <dcterms:created xsi:type="dcterms:W3CDTF">2025-09-09T03:56:00Z</dcterms:created>
  <dcterms:modified xsi:type="dcterms:W3CDTF">2026-02-16T02:37:00Z</dcterms:modified>
</cp:coreProperties>
</file>