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ВАЗ 21101.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Сидельник (ране Драгон, Перковская) Татьяна Викторовна (дата рождения: 12.01.1995 г., место рождения: ст-ца Советская Словетский сельский р-н Ростовская область, СНИЛС 160-651-549 53, ИНН 612309679708, регистрация по месту жительства: 346872, Ростовская обл., Неклиновский р-н, х. Курлацкий, пер. Садовый, д. 16А)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ВАЗ 21101.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